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odyText"/>
        <w:rPr>
          <w:rFonts w:ascii="Times New Roman" w:hAnsi="Times New Roman"/>
          <w:sz w:val="20"/>
        </w:rPr>
      </w:pPr>
      <w:r>
        <w:rPr>
          <w:rFonts w:ascii="Times New Roman" w:hAnsi="Times New Roman"/>
          <w:sz w:val="20"/>
        </w:rPr>
      </w:r>
    </w:p>
    <w:p>
      <w:pPr>
        <w:pStyle w:val="BodyText"/>
        <w:spacing w:before="216" w:after="0"/>
        <w:rPr>
          <w:rFonts w:ascii="Times New Roman" w:hAnsi="Times New Roman"/>
          <w:sz w:val="20"/>
        </w:rPr>
      </w:pPr>
      <w:r>
        <w:rPr>
          <w:rFonts w:ascii="Times New Roman" w:hAnsi="Times New Roman"/>
          <w:sz w:val="20"/>
        </w:rPr>
      </w:r>
    </w:p>
    <w:p>
      <w:pPr>
        <w:pStyle w:val="Normal"/>
        <w:ind w:left="3709"/>
        <w:rPr>
          <w:sz w:val="20"/>
        </w:rPr>
      </w:pPr>
      <w:r>
        <w:rPr>
          <w:sz w:val="20"/>
        </w:rPr>
        <w:drawing>
          <wp:anchor behindDoc="0" distT="0" distB="0" distL="0" distR="0" simplePos="0" locked="0" layoutInCell="0" allowOverlap="1" relativeHeight="2">
            <wp:simplePos x="0" y="0"/>
            <wp:positionH relativeFrom="page">
              <wp:posOffset>719455</wp:posOffset>
            </wp:positionH>
            <wp:positionV relativeFrom="paragraph">
              <wp:posOffset>-422910</wp:posOffset>
            </wp:positionV>
            <wp:extent cx="1183640" cy="569595"/>
            <wp:effectExtent l="0" t="0" r="0" b="0"/>
            <wp:wrapNone/>
            <wp:docPr id="1" name="Imag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
                    <pic:cNvPicPr>
                      <a:picLocks noChangeAspect="1" noChangeArrowheads="1"/>
                    </pic:cNvPicPr>
                  </pic:nvPicPr>
                  <pic:blipFill>
                    <a:blip r:embed="rId2"/>
                    <a:stretch>
                      <a:fillRect/>
                    </a:stretch>
                  </pic:blipFill>
                  <pic:spPr bwMode="auto">
                    <a:xfrm>
                      <a:off x="0" y="0"/>
                      <a:ext cx="1183640" cy="569595"/>
                    </a:xfrm>
                    <a:prstGeom prst="rect">
                      <a:avLst/>
                    </a:prstGeom>
                    <a:noFill/>
                  </pic:spPr>
                </pic:pic>
              </a:graphicData>
            </a:graphic>
          </wp:anchor>
        </w:drawing>
      </w:r>
    </w:p>
    <w:p>
      <w:pPr>
        <w:pStyle w:val="BodyText"/>
        <w:spacing w:before="146" w:after="0"/>
        <w:rPr>
          <w:sz w:val="20"/>
        </w:rPr>
      </w:pPr>
      <w:r>
        <w:rPr>
          <w:sz w:val="20"/>
        </w:rPr>
      </w:r>
    </w:p>
    <w:p>
      <w:pPr>
        <w:pStyle w:val="Heading1"/>
        <w:spacing w:before="0" w:after="0"/>
        <w:ind w:hanging="0" w:left="0" w:right="438"/>
        <w:jc w:val="center"/>
        <w:rPr>
          <w:caps/>
        </w:rPr>
      </w:pPr>
      <w:r>
        <w:rPr>
          <w:caps/>
        </w:rPr>
        <w:t>„</w:t>
      </w:r>
      <w:r>
        <w:rPr>
          <w:caps/>
        </w:rPr>
        <w:t>MICROSOFT POWER Platform“ arba lygiavertės programinės įrangos konfigūravimo paslaugų PIRKIMO TECHNINĖ SPECIFIKACIJA</w:t>
      </w:r>
    </w:p>
    <w:p>
      <w:pPr>
        <w:pStyle w:val="Heading1"/>
        <w:spacing w:before="0" w:after="0"/>
        <w:ind w:hanging="0" w:left="0" w:right="438"/>
        <w:jc w:val="center"/>
        <w:rPr/>
      </w:pPr>
      <w:r>
        <w:rPr/>
      </w:r>
    </w:p>
    <w:p>
      <w:pPr>
        <w:pStyle w:val="ListParagraph"/>
        <w:numPr>
          <w:ilvl w:val="0"/>
          <w:numId w:val="1"/>
        </w:numPr>
        <w:tabs>
          <w:tab w:val="clear" w:pos="720"/>
          <w:tab w:val="left" w:pos="364" w:leader="none"/>
        </w:tabs>
        <w:spacing w:before="81" w:after="0"/>
        <w:ind w:hanging="246" w:left="364"/>
        <w:rPr>
          <w:b/>
        </w:rPr>
      </w:pPr>
      <w:r>
        <w:rPr>
          <w:b/>
        </w:rPr>
        <w:t>SĄVOKOS</w:t>
      </w:r>
      <w:r>
        <w:rPr>
          <w:b/>
          <w:spacing w:val="-6"/>
        </w:rPr>
        <w:t xml:space="preserve"> </w:t>
      </w:r>
      <w:r>
        <w:rPr>
          <w:b/>
        </w:rPr>
        <w:t>IR</w:t>
      </w:r>
      <w:r>
        <w:rPr>
          <w:b/>
          <w:spacing w:val="-4"/>
        </w:rPr>
        <w:t xml:space="preserve"> </w:t>
      </w:r>
      <w:r>
        <w:rPr>
          <w:b/>
          <w:spacing w:val="-2"/>
        </w:rPr>
        <w:t>SUTRUMPINIMAI</w:t>
      </w:r>
    </w:p>
    <w:p>
      <w:pPr>
        <w:pStyle w:val="ListParagraph"/>
        <w:numPr>
          <w:ilvl w:val="1"/>
          <w:numId w:val="1"/>
        </w:numPr>
        <w:tabs>
          <w:tab w:val="clear" w:pos="720"/>
          <w:tab w:val="left" w:pos="561" w:leader="none"/>
        </w:tabs>
        <w:spacing w:before="120" w:after="0"/>
        <w:ind w:hanging="429" w:left="561"/>
        <w:jc w:val="both"/>
        <w:rPr/>
      </w:pPr>
      <w:r>
        <w:rPr>
          <w:b/>
        </w:rPr>
        <w:t>Užsakovas</w:t>
      </w:r>
      <w:r>
        <w:rPr>
          <w:b/>
          <w:spacing w:val="-7"/>
        </w:rPr>
        <w:t xml:space="preserve"> </w:t>
      </w:r>
      <w:r>
        <w:rPr/>
        <w:t>–</w:t>
      </w:r>
      <w:r>
        <w:rPr>
          <w:spacing w:val="-7"/>
        </w:rPr>
        <w:t xml:space="preserve"> </w:t>
      </w:r>
      <w:r>
        <w:rPr/>
        <w:t>VĮ</w:t>
      </w:r>
      <w:r>
        <w:rPr>
          <w:spacing w:val="-6"/>
        </w:rPr>
        <w:t xml:space="preserve"> </w:t>
      </w:r>
      <w:r>
        <w:rPr/>
        <w:t>Valstybinių</w:t>
      </w:r>
      <w:r>
        <w:rPr>
          <w:spacing w:val="-4"/>
        </w:rPr>
        <w:t xml:space="preserve"> </w:t>
      </w:r>
      <w:r>
        <w:rPr/>
        <w:t>miškų</w:t>
      </w:r>
      <w:r>
        <w:rPr>
          <w:spacing w:val="-7"/>
        </w:rPr>
        <w:t xml:space="preserve"> </w:t>
      </w:r>
      <w:r>
        <w:rPr/>
        <w:t>urėdija</w:t>
      </w:r>
      <w:r>
        <w:rPr>
          <w:spacing w:val="-7"/>
        </w:rPr>
        <w:t xml:space="preserve"> </w:t>
      </w:r>
      <w:r>
        <w:rPr/>
        <w:t>(toliau</w:t>
      </w:r>
      <w:r>
        <w:rPr>
          <w:spacing w:val="-2"/>
        </w:rPr>
        <w:t xml:space="preserve"> </w:t>
      </w:r>
      <w:r>
        <w:rPr/>
        <w:t>-</w:t>
      </w:r>
      <w:r>
        <w:rPr>
          <w:spacing w:val="-2"/>
        </w:rPr>
        <w:t xml:space="preserve"> VMU).</w:t>
      </w:r>
    </w:p>
    <w:p>
      <w:pPr>
        <w:pStyle w:val="ListParagraph"/>
        <w:numPr>
          <w:ilvl w:val="1"/>
          <w:numId w:val="1"/>
        </w:numPr>
        <w:tabs>
          <w:tab w:val="clear" w:pos="720"/>
          <w:tab w:val="left" w:pos="142" w:leader="none"/>
          <w:tab w:val="left" w:pos="556" w:leader="none"/>
        </w:tabs>
        <w:spacing w:before="100" w:after="0"/>
        <w:ind w:hanging="10" w:left="142" w:right="564"/>
        <w:jc w:val="both"/>
        <w:rPr/>
      </w:pPr>
      <w:r>
        <w:rPr>
          <w:b/>
        </w:rPr>
        <w:t>Paslaugų</w:t>
      </w:r>
      <w:r>
        <w:rPr>
          <w:b/>
          <w:spacing w:val="-12"/>
        </w:rPr>
        <w:t xml:space="preserve"> </w:t>
      </w:r>
      <w:r>
        <w:rPr>
          <w:b/>
        </w:rPr>
        <w:t>teikėjas</w:t>
      </w:r>
      <w:r>
        <w:rPr>
          <w:b/>
          <w:spacing w:val="-8"/>
        </w:rPr>
        <w:t xml:space="preserve"> </w:t>
      </w:r>
      <w:r>
        <w:rPr/>
        <w:t>–</w:t>
      </w:r>
      <w:r>
        <w:rPr>
          <w:spacing w:val="-9"/>
        </w:rPr>
        <w:t xml:space="preserve"> </w:t>
      </w:r>
      <w:r>
        <w:rPr/>
        <w:t>ūkio</w:t>
      </w:r>
      <w:r>
        <w:rPr>
          <w:spacing w:val="-9"/>
        </w:rPr>
        <w:t xml:space="preserve"> </w:t>
      </w:r>
      <w:r>
        <w:rPr/>
        <w:t>subjektas</w:t>
      </w:r>
      <w:r>
        <w:rPr>
          <w:spacing w:val="-7"/>
        </w:rPr>
        <w:t xml:space="preserve"> </w:t>
      </w:r>
      <w:r>
        <w:rPr/>
        <w:t>–</w:t>
      </w:r>
      <w:r>
        <w:rPr>
          <w:spacing w:val="-11"/>
        </w:rPr>
        <w:t xml:space="preserve"> </w:t>
      </w:r>
      <w:r>
        <w:rPr/>
        <w:t>fizinis</w:t>
      </w:r>
      <w:r>
        <w:rPr>
          <w:spacing w:val="-6"/>
        </w:rPr>
        <w:t xml:space="preserve"> </w:t>
      </w:r>
      <w:r>
        <w:rPr/>
        <w:t>asmuo,</w:t>
      </w:r>
      <w:r>
        <w:rPr>
          <w:spacing w:val="-7"/>
        </w:rPr>
        <w:t xml:space="preserve"> </w:t>
      </w:r>
      <w:r>
        <w:rPr/>
        <w:t>privatusis</w:t>
      </w:r>
      <w:r>
        <w:rPr>
          <w:spacing w:val="-11"/>
        </w:rPr>
        <w:t xml:space="preserve"> </w:t>
      </w:r>
      <w:r>
        <w:rPr/>
        <w:t>juridinis</w:t>
      </w:r>
      <w:r>
        <w:rPr>
          <w:spacing w:val="-8"/>
        </w:rPr>
        <w:t xml:space="preserve"> </w:t>
      </w:r>
      <w:r>
        <w:rPr/>
        <w:t>asmuo,</w:t>
      </w:r>
      <w:r>
        <w:rPr>
          <w:spacing w:val="-10"/>
        </w:rPr>
        <w:t xml:space="preserve"> </w:t>
      </w:r>
      <w:r>
        <w:rPr/>
        <w:t>viešasis</w:t>
      </w:r>
      <w:r>
        <w:rPr>
          <w:spacing w:val="-8"/>
        </w:rPr>
        <w:t xml:space="preserve"> </w:t>
      </w:r>
      <w:r>
        <w:rPr/>
        <w:t xml:space="preserve">juridinis asmuo, kitos organizacijos ir jų padaliniai ar tokių asmenų grupė, su kuriuo Užsakovas sudaro </w:t>
      </w:r>
      <w:r>
        <w:rPr>
          <w:spacing w:val="-2"/>
        </w:rPr>
        <w:t>Sutartį.</w:t>
      </w:r>
    </w:p>
    <w:p>
      <w:pPr>
        <w:pStyle w:val="ListParagraph"/>
        <w:numPr>
          <w:ilvl w:val="1"/>
          <w:numId w:val="1"/>
        </w:numPr>
        <w:tabs>
          <w:tab w:val="clear" w:pos="720"/>
          <w:tab w:val="left" w:pos="561" w:leader="none"/>
        </w:tabs>
        <w:spacing w:before="57" w:after="0"/>
        <w:ind w:hanging="429" w:left="561"/>
        <w:jc w:val="both"/>
        <w:rPr/>
      </w:pPr>
      <w:r>
        <w:rPr>
          <w:b/>
        </w:rPr>
        <w:t>Sutartis</w:t>
      </w:r>
      <w:r>
        <w:rPr>
          <w:b/>
          <w:spacing w:val="-9"/>
        </w:rPr>
        <w:t xml:space="preserve"> </w:t>
      </w:r>
      <w:r>
        <w:rPr/>
        <w:t>–</w:t>
      </w:r>
      <w:r>
        <w:rPr>
          <w:spacing w:val="-5"/>
        </w:rPr>
        <w:t xml:space="preserve"> </w:t>
      </w:r>
      <w:r>
        <w:rPr/>
        <w:t>Sutartis,</w:t>
      </w:r>
      <w:r>
        <w:rPr>
          <w:spacing w:val="-7"/>
        </w:rPr>
        <w:t xml:space="preserve"> </w:t>
      </w:r>
      <w:r>
        <w:rPr/>
        <w:t>sudaroma</w:t>
      </w:r>
      <w:r>
        <w:rPr>
          <w:spacing w:val="-7"/>
        </w:rPr>
        <w:t xml:space="preserve"> </w:t>
      </w:r>
      <w:r>
        <w:rPr/>
        <w:t>tarp</w:t>
      </w:r>
      <w:r>
        <w:rPr>
          <w:spacing w:val="-5"/>
        </w:rPr>
        <w:t xml:space="preserve"> </w:t>
      </w:r>
      <w:r>
        <w:rPr/>
        <w:t>Paslaugų</w:t>
      </w:r>
      <w:r>
        <w:rPr>
          <w:spacing w:val="-6"/>
        </w:rPr>
        <w:t xml:space="preserve"> </w:t>
      </w:r>
      <w:r>
        <w:rPr/>
        <w:t>teikėjo</w:t>
      </w:r>
      <w:r>
        <w:rPr>
          <w:spacing w:val="-5"/>
        </w:rPr>
        <w:t xml:space="preserve"> </w:t>
      </w:r>
      <w:r>
        <w:rPr/>
        <w:t>ir</w:t>
      </w:r>
      <w:r>
        <w:rPr>
          <w:spacing w:val="-6"/>
        </w:rPr>
        <w:t xml:space="preserve"> </w:t>
      </w:r>
      <w:r>
        <w:rPr/>
        <w:t>Užsakovo</w:t>
      </w:r>
      <w:r>
        <w:rPr>
          <w:spacing w:val="-6"/>
        </w:rPr>
        <w:t xml:space="preserve"> </w:t>
      </w:r>
      <w:r>
        <w:rPr/>
        <w:t>dėl</w:t>
      </w:r>
      <w:r>
        <w:rPr>
          <w:spacing w:val="-8"/>
        </w:rPr>
        <w:t xml:space="preserve"> </w:t>
      </w:r>
      <w:r>
        <w:rPr/>
        <w:t>Pirkimo</w:t>
      </w:r>
      <w:r>
        <w:rPr>
          <w:spacing w:val="-4"/>
        </w:rPr>
        <w:t xml:space="preserve"> </w:t>
      </w:r>
      <w:r>
        <w:rPr>
          <w:spacing w:val="-2"/>
        </w:rPr>
        <w:t>objekto.</w:t>
      </w:r>
    </w:p>
    <w:p>
      <w:pPr>
        <w:pStyle w:val="ListParagraph"/>
        <w:numPr>
          <w:ilvl w:val="1"/>
          <w:numId w:val="1"/>
        </w:numPr>
        <w:tabs>
          <w:tab w:val="clear" w:pos="720"/>
          <w:tab w:val="left" w:pos="561" w:leader="none"/>
        </w:tabs>
        <w:spacing w:before="93" w:after="0"/>
        <w:ind w:hanging="429" w:left="561"/>
        <w:jc w:val="both"/>
        <w:rPr/>
      </w:pPr>
      <w:r>
        <w:rPr>
          <w:b/>
        </w:rPr>
        <w:t>Šalys</w:t>
      </w:r>
      <w:r>
        <w:rPr>
          <w:b/>
          <w:spacing w:val="-7"/>
        </w:rPr>
        <w:t xml:space="preserve"> </w:t>
      </w:r>
      <w:r>
        <w:rPr/>
        <w:t>–</w:t>
      </w:r>
      <w:r>
        <w:rPr>
          <w:spacing w:val="-5"/>
        </w:rPr>
        <w:t xml:space="preserve"> </w:t>
      </w:r>
      <w:r>
        <w:rPr/>
        <w:t>Užsakovas</w:t>
      </w:r>
      <w:r>
        <w:rPr>
          <w:spacing w:val="-5"/>
        </w:rPr>
        <w:t xml:space="preserve"> </w:t>
      </w:r>
      <w:r>
        <w:rPr/>
        <w:t>ir</w:t>
      </w:r>
      <w:r>
        <w:rPr>
          <w:spacing w:val="-5"/>
        </w:rPr>
        <w:t xml:space="preserve"> </w:t>
      </w:r>
      <w:r>
        <w:rPr/>
        <w:t>Paslaugų</w:t>
      </w:r>
      <w:r>
        <w:rPr>
          <w:spacing w:val="-6"/>
        </w:rPr>
        <w:t xml:space="preserve"> </w:t>
      </w:r>
      <w:r>
        <w:rPr>
          <w:spacing w:val="-2"/>
        </w:rPr>
        <w:t>teikėjas.</w:t>
      </w:r>
    </w:p>
    <w:p>
      <w:pPr>
        <w:pStyle w:val="ListParagraph"/>
        <w:numPr>
          <w:ilvl w:val="1"/>
          <w:numId w:val="1"/>
        </w:numPr>
        <w:tabs>
          <w:tab w:val="clear" w:pos="720"/>
          <w:tab w:val="left" w:pos="561" w:leader="none"/>
        </w:tabs>
        <w:spacing w:before="58" w:after="0"/>
        <w:ind w:hanging="429" w:left="561"/>
        <w:jc w:val="both"/>
        <w:rPr/>
      </w:pPr>
      <w:r>
        <w:rPr>
          <w:b/>
        </w:rPr>
        <w:t>Paslaugos</w:t>
      </w:r>
      <w:r>
        <w:rPr>
          <w:b/>
          <w:spacing w:val="-9"/>
        </w:rPr>
        <w:t xml:space="preserve"> </w:t>
      </w:r>
      <w:r>
        <w:rPr>
          <w:bCs/>
        </w:rPr>
        <w:t>– „Microsoft Power Platform“ arba lygiavertės programinės įrangos konfigūravimo paslaugos.</w:t>
      </w:r>
    </w:p>
    <w:p>
      <w:pPr>
        <w:pStyle w:val="ListParagraph"/>
        <w:numPr>
          <w:ilvl w:val="1"/>
          <w:numId w:val="1"/>
        </w:numPr>
        <w:tabs>
          <w:tab w:val="clear" w:pos="720"/>
          <w:tab w:val="left" w:pos="142" w:leader="none"/>
          <w:tab w:val="left" w:pos="681" w:leader="none"/>
        </w:tabs>
        <w:spacing w:before="67" w:after="0"/>
        <w:ind w:hanging="10" w:left="142" w:right="561"/>
        <w:jc w:val="both"/>
        <w:rPr/>
      </w:pPr>
      <w:r>
        <w:rPr>
          <w:b/>
        </w:rPr>
        <w:t>Užsakovo</w:t>
      </w:r>
      <w:r>
        <w:rPr>
          <w:b/>
          <w:spacing w:val="-4"/>
        </w:rPr>
        <w:t xml:space="preserve"> </w:t>
      </w:r>
      <w:r>
        <w:rPr>
          <w:b/>
        </w:rPr>
        <w:t>darbo</w:t>
      </w:r>
      <w:r>
        <w:rPr>
          <w:b/>
          <w:spacing w:val="-6"/>
        </w:rPr>
        <w:t xml:space="preserve"> </w:t>
      </w:r>
      <w:r>
        <w:rPr>
          <w:b/>
        </w:rPr>
        <w:t>valandos</w:t>
      </w:r>
      <w:r>
        <w:rPr>
          <w:b/>
          <w:spacing w:val="-4"/>
        </w:rPr>
        <w:t xml:space="preserve"> </w:t>
      </w:r>
      <w:r>
        <w:rPr/>
        <w:t>–</w:t>
      </w:r>
      <w:r>
        <w:rPr>
          <w:spacing w:val="-6"/>
        </w:rPr>
        <w:t xml:space="preserve"> </w:t>
      </w:r>
      <w:r>
        <w:rPr/>
        <w:t>darbo</w:t>
      </w:r>
      <w:r>
        <w:rPr>
          <w:spacing w:val="-7"/>
        </w:rPr>
        <w:t xml:space="preserve"> </w:t>
      </w:r>
      <w:r>
        <w:rPr/>
        <w:t>valandos,</w:t>
      </w:r>
      <w:r>
        <w:rPr>
          <w:spacing w:val="-3"/>
        </w:rPr>
        <w:t xml:space="preserve"> </w:t>
      </w:r>
      <w:r>
        <w:rPr/>
        <w:t>skaičiuojamos</w:t>
      </w:r>
      <w:r>
        <w:rPr>
          <w:spacing w:val="-6"/>
        </w:rPr>
        <w:t xml:space="preserve"> </w:t>
      </w:r>
      <w:r>
        <w:rPr/>
        <w:t>Užsakovo</w:t>
      </w:r>
      <w:r>
        <w:rPr>
          <w:spacing w:val="-4"/>
        </w:rPr>
        <w:t xml:space="preserve"> </w:t>
      </w:r>
      <w:r>
        <w:rPr/>
        <w:t>darbo</w:t>
      </w:r>
      <w:r>
        <w:rPr>
          <w:spacing w:val="-7"/>
        </w:rPr>
        <w:t xml:space="preserve"> </w:t>
      </w:r>
      <w:r>
        <w:rPr/>
        <w:t>metu:</w:t>
      </w:r>
      <w:r>
        <w:rPr>
          <w:spacing w:val="-5"/>
        </w:rPr>
        <w:t xml:space="preserve"> </w:t>
      </w:r>
      <w:r>
        <w:rPr/>
        <w:t>I-IV</w:t>
      </w:r>
      <w:r>
        <w:rPr>
          <w:spacing w:val="-7"/>
        </w:rPr>
        <w:t xml:space="preserve"> </w:t>
      </w:r>
      <w:r>
        <w:rPr/>
        <w:t>8:00 – 17:00 val., V 8:00 – 15:45 val.</w:t>
      </w:r>
    </w:p>
    <w:p>
      <w:pPr>
        <w:pStyle w:val="ListParagraph"/>
        <w:tabs>
          <w:tab w:val="clear" w:pos="720"/>
          <w:tab w:val="left" w:pos="142" w:leader="none"/>
          <w:tab w:val="left" w:pos="681" w:leader="none"/>
        </w:tabs>
        <w:spacing w:before="67" w:after="0"/>
        <w:ind w:hanging="0" w:left="142" w:right="561"/>
        <w:jc w:val="both"/>
        <w:rPr/>
      </w:pPr>
      <w:r>
        <w:rPr/>
      </w:r>
    </w:p>
    <w:p>
      <w:pPr>
        <w:pStyle w:val="Heading1"/>
        <w:numPr>
          <w:ilvl w:val="0"/>
          <w:numId w:val="1"/>
        </w:numPr>
        <w:tabs>
          <w:tab w:val="clear" w:pos="720"/>
          <w:tab w:val="left" w:pos="364" w:leader="none"/>
        </w:tabs>
        <w:spacing w:before="48" w:after="0"/>
        <w:ind w:hanging="246" w:left="364"/>
        <w:rPr/>
      </w:pPr>
      <w:r>
        <w:rPr/>
        <w:t>PIRKIMO</w:t>
      </w:r>
      <w:r>
        <w:rPr>
          <w:spacing w:val="-10"/>
        </w:rPr>
        <w:t xml:space="preserve"> </w:t>
      </w:r>
      <w:r>
        <w:rPr>
          <w:spacing w:val="-2"/>
        </w:rPr>
        <w:t>OBJEKTAS</w:t>
      </w:r>
    </w:p>
    <w:p>
      <w:pPr>
        <w:pStyle w:val="Normal"/>
        <w:tabs>
          <w:tab w:val="clear" w:pos="720"/>
          <w:tab w:val="left" w:pos="561" w:leader="none"/>
        </w:tabs>
        <w:spacing w:before="58" w:after="0"/>
        <w:jc w:val="both"/>
        <w:rPr/>
      </w:pPr>
      <w:r>
        <w:rPr>
          <w:bCs/>
        </w:rPr>
        <w:t xml:space="preserve">    „</w:t>
      </w:r>
      <w:r>
        <w:rPr>
          <w:bCs/>
        </w:rPr>
        <w:t>Microsoft Power Platform“ arba lygiavertės programinės įrangos konfigūravimo paslaugos.</w:t>
      </w:r>
    </w:p>
    <w:p>
      <w:pPr>
        <w:pStyle w:val="BodyText"/>
        <w:rPr>
          <w:sz w:val="20"/>
        </w:rPr>
      </w:pPr>
      <w:r>
        <w:rPr>
          <w:sz w:val="20"/>
        </w:rPr>
      </w:r>
    </w:p>
    <w:p>
      <w:pPr>
        <w:pStyle w:val="BodyText"/>
        <w:numPr>
          <w:ilvl w:val="0"/>
          <w:numId w:val="1"/>
        </w:numPr>
        <w:spacing w:before="73" w:after="0"/>
        <w:rPr>
          <w:b/>
          <w:bCs/>
        </w:rPr>
      </w:pPr>
      <w:r>
        <w:rPr>
          <w:b/>
          <w:bCs/>
        </w:rPr>
        <w:t>PIRKIMO</w:t>
      </w:r>
      <w:r>
        <w:rPr>
          <w:b/>
          <w:bCs/>
          <w:spacing w:val="-10"/>
        </w:rPr>
        <w:t xml:space="preserve"> </w:t>
      </w:r>
      <w:r>
        <w:rPr>
          <w:b/>
          <w:bCs/>
        </w:rPr>
        <w:t>OBJEKTO</w:t>
      </w:r>
      <w:r>
        <w:rPr>
          <w:b/>
          <w:bCs/>
          <w:spacing w:val="-10"/>
        </w:rPr>
        <w:t xml:space="preserve"> </w:t>
      </w:r>
      <w:r>
        <w:rPr>
          <w:b/>
          <w:bCs/>
          <w:spacing w:val="-2"/>
        </w:rPr>
        <w:t>APIMTYS</w:t>
      </w:r>
    </w:p>
    <w:p>
      <w:pPr>
        <w:pStyle w:val="BodyText"/>
        <w:spacing w:before="11" w:after="0"/>
        <w:rPr>
          <w:b/>
          <w:sz w:val="20"/>
        </w:rPr>
      </w:pPr>
      <w:r>
        <w:rPr>
          <w:b/>
          <w:sz w:val="20"/>
        </w:rPr>
      </w:r>
    </w:p>
    <w:p>
      <w:pPr>
        <w:pStyle w:val="ListParagraph"/>
        <w:numPr>
          <w:ilvl w:val="1"/>
          <w:numId w:val="1"/>
        </w:numPr>
        <w:ind w:hanging="431" w:left="611" w:right="560"/>
        <w:jc w:val="both"/>
        <w:rPr/>
      </w:pPr>
      <w:r>
        <w:rPr/>
        <w:t xml:space="preserve">500 (penki šimtai) kūrimo ir vystymo darbo valandų (1 darbo valanda – 60 minučių) per visą sutarties laikotarpį. </w:t>
      </w:r>
    </w:p>
    <w:p>
      <w:pPr>
        <w:pStyle w:val="ListParagraph"/>
        <w:numPr>
          <w:ilvl w:val="1"/>
          <w:numId w:val="1"/>
        </w:numPr>
        <w:tabs>
          <w:tab w:val="clear" w:pos="720"/>
          <w:tab w:val="left" w:pos="561" w:leader="none"/>
        </w:tabs>
        <w:spacing w:before="79" w:after="0"/>
        <w:ind w:hanging="429" w:left="561" w:right="560"/>
        <w:jc w:val="both"/>
        <w:rPr/>
      </w:pPr>
      <w:r>
        <w:rPr/>
        <w:t>Paslaugos, nurodytos Techninės specifikacijos 3.1 punkte, bus įsigyjamos pagal poreikį ir Užsakovas neįsipareigoja įsigyti viso ar dalies nurodyto Paslaugų kiekio (valandų). Dėl Paslaugų ar jos dalies neįsigijimo Užsakovui netaikoma jokia atsakomybė. Paslaugos, nurodytos Techninės specifikacijos 3.1. punkte teikiamos pagal Užsakovo pateikiamus ir suderintus su Paslaugų teikėju užsakymo aktus.</w:t>
      </w:r>
    </w:p>
    <w:p>
      <w:pPr>
        <w:pStyle w:val="BodyText"/>
        <w:spacing w:before="97" w:after="0"/>
        <w:rPr>
          <w:sz w:val="20"/>
        </w:rPr>
      </w:pPr>
      <w:r>
        <w:rPr>
          <w:sz w:val="20"/>
        </w:rPr>
      </w:r>
    </w:p>
    <w:p>
      <w:pPr>
        <w:pStyle w:val="Heading1"/>
        <w:numPr>
          <w:ilvl w:val="0"/>
          <w:numId w:val="1"/>
        </w:numPr>
        <w:tabs>
          <w:tab w:val="clear" w:pos="720"/>
          <w:tab w:val="left" w:pos="364" w:leader="none"/>
        </w:tabs>
        <w:spacing w:before="84" w:after="0"/>
        <w:ind w:hanging="246" w:left="364"/>
        <w:rPr/>
      </w:pPr>
      <w:r>
        <w:rPr/>
        <w:t>SUTARTINIŲ</w:t>
      </w:r>
      <w:r>
        <w:rPr>
          <w:spacing w:val="-14"/>
        </w:rPr>
        <w:t xml:space="preserve"> </w:t>
      </w:r>
      <w:r>
        <w:rPr/>
        <w:t>ĮSIPAREIGOJIMŲ</w:t>
      </w:r>
      <w:r>
        <w:rPr>
          <w:spacing w:val="-11"/>
        </w:rPr>
        <w:t xml:space="preserve"> </w:t>
      </w:r>
      <w:r>
        <w:rPr/>
        <w:t>VYKDYMO</w:t>
      </w:r>
      <w:r>
        <w:rPr>
          <w:spacing w:val="-12"/>
        </w:rPr>
        <w:t xml:space="preserve"> </w:t>
      </w:r>
      <w:r>
        <w:rPr>
          <w:spacing w:val="-2"/>
        </w:rPr>
        <w:t>VIETA</w:t>
      </w:r>
    </w:p>
    <w:p>
      <w:pPr>
        <w:pStyle w:val="BodyText"/>
        <w:spacing w:before="9" w:after="0"/>
        <w:rPr/>
      </w:pPr>
      <w:r>
        <w:rPr/>
      </w:r>
    </w:p>
    <w:p>
      <w:pPr>
        <w:pStyle w:val="ListParagraph"/>
        <w:numPr>
          <w:ilvl w:val="1"/>
          <w:numId w:val="1"/>
        </w:numPr>
        <w:tabs>
          <w:tab w:val="clear" w:pos="720"/>
          <w:tab w:val="left" w:pos="561" w:leader="none"/>
        </w:tabs>
        <w:spacing w:before="100" w:after="0"/>
        <w:ind w:hanging="10" w:left="142" w:right="562"/>
        <w:jc w:val="both"/>
        <w:rPr/>
      </w:pPr>
      <w:r>
        <w:rPr/>
        <w:t>Paslaugų teikėjas teikia Paslaugas naudodamas Užsakovo IT infrastruktūrą.</w:t>
      </w:r>
    </w:p>
    <w:p>
      <w:pPr>
        <w:pStyle w:val="ListParagraph"/>
        <w:numPr>
          <w:ilvl w:val="1"/>
          <w:numId w:val="1"/>
        </w:numPr>
        <w:tabs>
          <w:tab w:val="clear" w:pos="720"/>
          <w:tab w:val="left" w:pos="561" w:leader="none"/>
        </w:tabs>
        <w:spacing w:before="100" w:after="0"/>
        <w:ind w:hanging="425" w:left="567" w:right="562"/>
        <w:jc w:val="both"/>
        <w:rPr/>
      </w:pPr>
      <w:r>
        <w:rPr/>
        <w:t>Sistemų kūrimo ir vystymo paslaugų</w:t>
      </w:r>
      <w:r>
        <w:rPr>
          <w:spacing w:val="-9"/>
        </w:rPr>
        <w:t xml:space="preserve"> </w:t>
      </w:r>
      <w:r>
        <w:rPr/>
        <w:t>dokumentacija išvardinta šio dokumento 5.1.5 ir 5.2.4  punktuose</w:t>
      </w:r>
      <w:r>
        <w:rPr>
          <w:spacing w:val="-9"/>
        </w:rPr>
        <w:t xml:space="preserve"> </w:t>
      </w:r>
      <w:r>
        <w:rPr/>
        <w:t>turi</w:t>
      </w:r>
      <w:r>
        <w:rPr>
          <w:spacing w:val="-7"/>
        </w:rPr>
        <w:t xml:space="preserve"> </w:t>
      </w:r>
      <w:r>
        <w:rPr/>
        <w:t>būti</w:t>
      </w:r>
      <w:r>
        <w:rPr>
          <w:spacing w:val="-9"/>
        </w:rPr>
        <w:t xml:space="preserve"> </w:t>
      </w:r>
      <w:r>
        <w:rPr/>
        <w:t>siunčiama</w:t>
      </w:r>
      <w:r>
        <w:rPr>
          <w:spacing w:val="-7"/>
        </w:rPr>
        <w:t xml:space="preserve"> </w:t>
      </w:r>
      <w:r>
        <w:rPr/>
        <w:t>Užsakovui</w:t>
      </w:r>
      <w:r>
        <w:rPr>
          <w:spacing w:val="-8"/>
        </w:rPr>
        <w:t xml:space="preserve"> </w:t>
      </w:r>
      <w:r>
        <w:rPr/>
        <w:t>elektroniniu</w:t>
      </w:r>
      <w:r>
        <w:rPr>
          <w:spacing w:val="-7"/>
        </w:rPr>
        <w:t xml:space="preserve"> </w:t>
      </w:r>
      <w:r>
        <w:rPr/>
        <w:t>paštu.</w:t>
      </w:r>
    </w:p>
    <w:p>
      <w:pPr>
        <w:pStyle w:val="ListParagraph"/>
        <w:numPr>
          <w:ilvl w:val="1"/>
          <w:numId w:val="1"/>
        </w:numPr>
        <w:tabs>
          <w:tab w:val="clear" w:pos="720"/>
          <w:tab w:val="left" w:pos="561" w:leader="none"/>
        </w:tabs>
        <w:spacing w:before="100" w:after="0"/>
        <w:ind w:hanging="425" w:left="567" w:right="562"/>
        <w:jc w:val="both"/>
        <w:rPr/>
      </w:pPr>
      <w:r>
        <w:rPr/>
        <w:t>Atliktų sistemų kūrimo ir vystymo paslaugų galutinis produktas tampa Užsakovo nuosavybė.</w:t>
      </w:r>
    </w:p>
    <w:p>
      <w:pPr>
        <w:pStyle w:val="ListParagraph"/>
        <w:numPr>
          <w:ilvl w:val="1"/>
          <w:numId w:val="1"/>
        </w:numPr>
        <w:tabs>
          <w:tab w:val="clear" w:pos="720"/>
          <w:tab w:val="left" w:pos="561" w:leader="none"/>
        </w:tabs>
        <w:spacing w:before="100" w:after="0"/>
        <w:ind w:hanging="425" w:left="567" w:right="562"/>
        <w:jc w:val="both"/>
        <w:rPr/>
      </w:pPr>
      <w:r>
        <w:rPr/>
        <w:t>Šalims</w:t>
      </w:r>
      <w:r>
        <w:rPr>
          <w:spacing w:val="40"/>
        </w:rPr>
        <w:t xml:space="preserve"> </w:t>
      </w:r>
      <w:r>
        <w:rPr/>
        <w:t>raštu</w:t>
      </w:r>
      <w:r>
        <w:rPr>
          <w:spacing w:val="40"/>
        </w:rPr>
        <w:t xml:space="preserve"> </w:t>
      </w:r>
      <w:r>
        <w:rPr/>
        <w:t>susitarus,</w:t>
      </w:r>
      <w:r>
        <w:rPr>
          <w:spacing w:val="40"/>
        </w:rPr>
        <w:t xml:space="preserve"> </w:t>
      </w:r>
      <w:r>
        <w:rPr/>
        <w:t>Paslaugoms</w:t>
      </w:r>
      <w:r>
        <w:rPr>
          <w:spacing w:val="40"/>
        </w:rPr>
        <w:t xml:space="preserve"> </w:t>
      </w:r>
      <w:r>
        <w:rPr/>
        <w:t>suteikti</w:t>
      </w:r>
      <w:r>
        <w:rPr>
          <w:spacing w:val="40"/>
        </w:rPr>
        <w:t xml:space="preserve"> </w:t>
      </w:r>
      <w:r>
        <w:rPr/>
        <w:t>Paslaugų</w:t>
      </w:r>
      <w:r>
        <w:rPr>
          <w:spacing w:val="40"/>
        </w:rPr>
        <w:t xml:space="preserve"> </w:t>
      </w:r>
      <w:r>
        <w:rPr/>
        <w:t>teikėjui</w:t>
      </w:r>
      <w:r>
        <w:rPr>
          <w:spacing w:val="40"/>
        </w:rPr>
        <w:t xml:space="preserve"> </w:t>
      </w:r>
      <w:r>
        <w:rPr/>
        <w:t>gali</w:t>
      </w:r>
      <w:r>
        <w:rPr>
          <w:spacing w:val="40"/>
        </w:rPr>
        <w:t xml:space="preserve"> </w:t>
      </w:r>
      <w:r>
        <w:rPr/>
        <w:t>būti</w:t>
      </w:r>
      <w:r>
        <w:rPr>
          <w:spacing w:val="40"/>
        </w:rPr>
        <w:t xml:space="preserve"> </w:t>
      </w:r>
      <w:r>
        <w:rPr/>
        <w:t>suteiktos</w:t>
      </w:r>
      <w:r>
        <w:rPr>
          <w:spacing w:val="40"/>
        </w:rPr>
        <w:t xml:space="preserve"> </w:t>
      </w:r>
      <w:r>
        <w:rPr/>
        <w:t>nuotolinio prisijungimo prie Sistemų (testavimo ir (ar) gamybinės aplinkos) galimybės.</w:t>
      </w:r>
    </w:p>
    <w:p>
      <w:pPr>
        <w:pStyle w:val="ListParagraph"/>
        <w:tabs>
          <w:tab w:val="clear" w:pos="720"/>
          <w:tab w:val="left" w:pos="561" w:leader="none"/>
        </w:tabs>
        <w:spacing w:before="100" w:after="0"/>
        <w:ind w:hanging="0" w:left="567" w:right="562"/>
        <w:rPr/>
      </w:pPr>
      <w:r>
        <w:rPr/>
      </w:r>
    </w:p>
    <w:p>
      <w:pPr>
        <w:pStyle w:val="BodyText"/>
        <w:numPr>
          <w:ilvl w:val="0"/>
          <w:numId w:val="1"/>
        </w:numPr>
        <w:spacing w:before="70" w:after="0"/>
        <w:rPr>
          <w:b/>
          <w:bCs/>
        </w:rPr>
      </w:pPr>
      <w:r>
        <w:rPr>
          <w:b/>
          <w:bCs/>
        </w:rPr>
        <w:t>REIKALAVIMAI</w:t>
      </w:r>
      <w:r>
        <w:rPr>
          <w:b/>
          <w:bCs/>
          <w:spacing w:val="-11"/>
        </w:rPr>
        <w:t xml:space="preserve"> </w:t>
      </w:r>
      <w:r>
        <w:rPr>
          <w:b/>
          <w:bCs/>
        </w:rPr>
        <w:t>PIRKIMO</w:t>
      </w:r>
      <w:r>
        <w:rPr>
          <w:b/>
          <w:bCs/>
          <w:spacing w:val="-11"/>
        </w:rPr>
        <w:t xml:space="preserve"> </w:t>
      </w:r>
      <w:r>
        <w:rPr>
          <w:b/>
          <w:bCs/>
          <w:spacing w:val="-2"/>
        </w:rPr>
        <w:t>OBJEKTUI</w:t>
      </w:r>
    </w:p>
    <w:p>
      <w:pPr>
        <w:pStyle w:val="BodyText"/>
        <w:spacing w:before="70" w:after="0"/>
        <w:ind w:left="365"/>
        <w:rPr>
          <w:b/>
          <w:bCs/>
        </w:rPr>
      </w:pPr>
      <w:r>
        <w:rPr>
          <w:b/>
          <w:bCs/>
        </w:rPr>
      </w:r>
    </w:p>
    <w:p>
      <w:pPr>
        <w:pStyle w:val="Heading2"/>
        <w:numPr>
          <w:ilvl w:val="1"/>
          <w:numId w:val="2"/>
        </w:numPr>
        <w:tabs>
          <w:tab w:val="clear" w:pos="720"/>
          <w:tab w:val="left" w:pos="1498" w:leader="none"/>
        </w:tabs>
        <w:ind w:hanging="547" w:left="630"/>
        <w:rPr>
          <w:b w:val="false"/>
          <w:bCs w:val="false"/>
        </w:rPr>
      </w:pPr>
      <w:r>
        <w:rPr>
          <w:b w:val="false"/>
          <w:bCs w:val="false"/>
        </w:rPr>
        <w:t>Sistemų kūrimo paslaugos:</w:t>
      </w:r>
    </w:p>
    <w:p>
      <w:pPr>
        <w:pStyle w:val="Heading2"/>
        <w:numPr>
          <w:ilvl w:val="2"/>
          <w:numId w:val="2"/>
        </w:numPr>
        <w:tabs>
          <w:tab w:val="clear" w:pos="720"/>
          <w:tab w:val="left" w:pos="1498" w:leader="none"/>
        </w:tabs>
        <w:rPr>
          <w:b w:val="false"/>
          <w:bCs w:val="false"/>
        </w:rPr>
      </w:pPr>
      <w:r>
        <w:rPr>
          <w:b w:val="false"/>
          <w:bCs w:val="false"/>
        </w:rPr>
        <w:t>Sistemų kūrimo paslaugas</w:t>
      </w:r>
      <w:r>
        <w:rPr>
          <w:b w:val="false"/>
          <w:bCs w:val="false"/>
          <w:spacing w:val="-8"/>
        </w:rPr>
        <w:t xml:space="preserve"> </w:t>
      </w:r>
      <w:r>
        <w:rPr>
          <w:b w:val="false"/>
          <w:bCs w:val="false"/>
          <w:spacing w:val="-2"/>
        </w:rPr>
        <w:t>sudaro:</w:t>
      </w:r>
    </w:p>
    <w:p>
      <w:pPr>
        <w:pStyle w:val="Heading2"/>
        <w:numPr>
          <w:ilvl w:val="3"/>
          <w:numId w:val="2"/>
        </w:numPr>
        <w:tabs>
          <w:tab w:val="clear" w:pos="720"/>
          <w:tab w:val="left" w:pos="1498" w:leader="none"/>
        </w:tabs>
        <w:rPr>
          <w:b w:val="false"/>
          <w:bCs w:val="false"/>
        </w:rPr>
      </w:pPr>
      <w:r>
        <w:rPr>
          <w:b w:val="false"/>
          <w:bCs w:val="false"/>
        </w:rPr>
        <w:t>Poreikių analizė ir vertinimas – Naujų Užsakovo pateiktų Sistemų kūrimo poreikių analizė ir vertinimas pagal kiekvienai sistemai atskirai pateiktus funkcinių reikalavimų dokumentus.</w:t>
      </w:r>
    </w:p>
    <w:p>
      <w:pPr>
        <w:pStyle w:val="ListParagraph"/>
        <w:numPr>
          <w:ilvl w:val="3"/>
          <w:numId w:val="2"/>
        </w:numPr>
        <w:spacing w:lineRule="auto" w:line="264"/>
        <w:ind w:hanging="1080" w:left="1818" w:right="559"/>
        <w:jc w:val="both"/>
        <w:rPr/>
      </w:pPr>
      <w:r>
        <w:rPr/>
        <w:t>Projektavimo, programavimo ir konfigūravimo</w:t>
      </w:r>
      <w:r>
        <w:rPr>
          <w:spacing w:val="40"/>
        </w:rPr>
        <w:t xml:space="preserve"> </w:t>
      </w:r>
      <w:r>
        <w:rPr/>
        <w:t>paslaugos – Naujų  Sistemų kūrimo projektavimo, programavimo ir konfigūravimo paslaugos.</w:t>
      </w:r>
    </w:p>
    <w:p>
      <w:pPr>
        <w:pStyle w:val="ListParagraph"/>
        <w:numPr>
          <w:ilvl w:val="3"/>
          <w:numId w:val="2"/>
        </w:numPr>
        <w:tabs>
          <w:tab w:val="clear" w:pos="720"/>
          <w:tab w:val="left" w:pos="709" w:leader="none"/>
          <w:tab w:val="left" w:pos="1730" w:leader="none"/>
        </w:tabs>
        <w:spacing w:lineRule="auto" w:line="264"/>
        <w:ind w:hanging="1080" w:left="1818" w:right="565"/>
        <w:jc w:val="both"/>
        <w:rPr/>
      </w:pPr>
      <w:r>
        <w:rPr/>
        <w:t>Diegimo paslaugos – naujų Sistemų kūrimo paslaugos pagal funkcinių reikalavimų dokumentus , Sistemų programinės įrangos ir jos pakeitimų (atnaujinimų) diegimas testavimo ir, esant poreikiui, gamybinėje aplinkose.</w:t>
      </w:r>
    </w:p>
    <w:p>
      <w:pPr>
        <w:pStyle w:val="ListParagraph"/>
        <w:numPr>
          <w:ilvl w:val="3"/>
          <w:numId w:val="2"/>
        </w:numPr>
        <w:tabs>
          <w:tab w:val="clear" w:pos="720"/>
          <w:tab w:val="left" w:pos="709" w:leader="none"/>
          <w:tab w:val="left" w:pos="1695" w:leader="none"/>
        </w:tabs>
        <w:spacing w:lineRule="auto" w:line="264"/>
        <w:ind w:hanging="1080" w:left="1818" w:right="567"/>
        <w:jc w:val="both"/>
        <w:rPr/>
      </w:pPr>
      <w:r>
        <w:rPr/>
        <w:t>Mokymai – Sistemų naudotojų ir administratorių mokymai darbo vietoje arba per nuotolinio ryšio priemones.</w:t>
      </w:r>
    </w:p>
    <w:p>
      <w:pPr>
        <w:pStyle w:val="ListParagraph"/>
        <w:numPr>
          <w:ilvl w:val="3"/>
          <w:numId w:val="2"/>
        </w:numPr>
        <w:tabs>
          <w:tab w:val="clear" w:pos="720"/>
          <w:tab w:val="left" w:pos="709" w:leader="none"/>
          <w:tab w:val="left" w:pos="1675" w:leader="none"/>
        </w:tabs>
        <w:spacing w:lineRule="auto" w:line="259"/>
        <w:ind w:hanging="1080" w:left="1818" w:right="566"/>
        <w:jc w:val="both"/>
        <w:rPr/>
      </w:pPr>
      <w:r>
        <w:rPr/>
        <w:t xml:space="preserve">Konsultacijos - </w:t>
      </w:r>
      <w:r>
        <w:rPr>
          <w:bCs/>
        </w:rPr>
        <w:t>Užsakovo</w:t>
      </w:r>
      <w:r>
        <w:rPr>
          <w:b/>
        </w:rPr>
        <w:t xml:space="preserve"> </w:t>
      </w:r>
      <w:r>
        <w:rPr/>
        <w:t>atstovų konsultavimas visais su Sistemų kūrimo ir jų veikimu susijusiais klausimais.</w:t>
      </w:r>
    </w:p>
    <w:p>
      <w:pPr>
        <w:pStyle w:val="ListParagraph"/>
        <w:numPr>
          <w:ilvl w:val="2"/>
          <w:numId w:val="2"/>
        </w:numPr>
        <w:tabs>
          <w:tab w:val="clear" w:pos="720"/>
          <w:tab w:val="left" w:pos="709" w:leader="none"/>
          <w:tab w:val="left" w:pos="1675" w:leader="none"/>
        </w:tabs>
        <w:spacing w:lineRule="auto" w:line="259"/>
        <w:ind w:hanging="720" w:left="1212" w:right="566"/>
        <w:jc w:val="both"/>
        <w:rPr/>
      </w:pPr>
      <w:r>
        <w:rPr/>
        <w:t>Sistemų kūrimo paslaugų suteikimo patvirtinimas:</w:t>
      </w:r>
    </w:p>
    <w:p>
      <w:pPr>
        <w:pStyle w:val="ListParagraph"/>
        <w:numPr>
          <w:ilvl w:val="3"/>
          <w:numId w:val="2"/>
        </w:numPr>
        <w:tabs>
          <w:tab w:val="clear" w:pos="720"/>
          <w:tab w:val="left" w:pos="709" w:leader="none"/>
          <w:tab w:val="left" w:pos="1675" w:leader="none"/>
        </w:tabs>
        <w:spacing w:lineRule="auto" w:line="259"/>
        <w:ind w:hanging="1080" w:left="1818" w:right="566"/>
        <w:jc w:val="both"/>
        <w:rPr/>
      </w:pPr>
      <w:r>
        <w:rPr/>
        <w:t>Sistemų kūrimo paslaugos laikomos suteiktomis, kai Paslaugų teikėjas ir Užsakovas, po bandomosios eksploatacijos etapo, pasirašo priėmimo–perdavimo aktą.</w:t>
      </w:r>
    </w:p>
    <w:p>
      <w:pPr>
        <w:pStyle w:val="ListParagraph"/>
        <w:numPr>
          <w:ilvl w:val="2"/>
          <w:numId w:val="2"/>
        </w:numPr>
        <w:tabs>
          <w:tab w:val="clear" w:pos="720"/>
          <w:tab w:val="left" w:pos="709" w:leader="none"/>
          <w:tab w:val="left" w:pos="1675" w:leader="none"/>
        </w:tabs>
        <w:spacing w:lineRule="auto" w:line="259"/>
        <w:ind w:hanging="720" w:left="1212" w:right="566"/>
        <w:jc w:val="both"/>
        <w:rPr/>
      </w:pPr>
      <w:r>
        <w:rPr/>
        <w:t>Reikalavimai bandomajai eksploatacijai:</w:t>
      </w:r>
    </w:p>
    <w:p>
      <w:pPr>
        <w:pStyle w:val="ListParagraph"/>
        <w:numPr>
          <w:ilvl w:val="3"/>
          <w:numId w:val="2"/>
        </w:numPr>
        <w:tabs>
          <w:tab w:val="clear" w:pos="720"/>
          <w:tab w:val="left" w:pos="709" w:leader="none"/>
          <w:tab w:val="left" w:pos="1675" w:leader="none"/>
        </w:tabs>
        <w:spacing w:lineRule="auto" w:line="259"/>
        <w:ind w:hanging="1080" w:left="1818" w:right="566"/>
        <w:jc w:val="both"/>
        <w:rPr/>
      </w:pPr>
      <w:r>
        <w:rPr/>
        <w:t>Turi būti numatytas ne trumpesnis kaip 4 (keturių) savaičių trukmės bandomosios eksploatacijos etapas, kurio metu Užsakovas pradės dirbti realioje, visus techninius ir funkcinius reikalavimus atitinkančioje aplinkoje.</w:t>
      </w:r>
    </w:p>
    <w:p>
      <w:pPr>
        <w:pStyle w:val="ListParagraph"/>
        <w:numPr>
          <w:ilvl w:val="3"/>
          <w:numId w:val="2"/>
        </w:numPr>
        <w:tabs>
          <w:tab w:val="clear" w:pos="720"/>
          <w:tab w:val="left" w:pos="709" w:leader="none"/>
          <w:tab w:val="left" w:pos="1675" w:leader="none"/>
        </w:tabs>
        <w:spacing w:lineRule="auto" w:line="259"/>
        <w:ind w:hanging="1080" w:left="1818" w:right="566"/>
        <w:jc w:val="both"/>
        <w:rPr/>
      </w:pPr>
      <w:r>
        <w:rPr/>
        <w:t>Bandomosios eksploatacijos metu turi būti užtikrintas operatyvus Paslaugų teikėjo atstovų reagavimas (ne ilgiau nei per 2 (dvi) darbo valandas) į Užsakovo paklausimus.</w:t>
      </w:r>
    </w:p>
    <w:p>
      <w:pPr>
        <w:pStyle w:val="ListParagraph"/>
        <w:numPr>
          <w:ilvl w:val="2"/>
          <w:numId w:val="2"/>
        </w:numPr>
        <w:tabs>
          <w:tab w:val="clear" w:pos="720"/>
          <w:tab w:val="left" w:pos="709" w:leader="none"/>
          <w:tab w:val="left" w:pos="1675" w:leader="none"/>
        </w:tabs>
        <w:spacing w:lineRule="auto" w:line="259"/>
        <w:ind w:hanging="720" w:left="1212" w:right="566"/>
        <w:jc w:val="both"/>
        <w:rPr/>
      </w:pPr>
      <w:r>
        <w:rPr/>
        <w:t>Reikalavimai Sistemų kūrimo paslaugoms suteikiamai garantijai:</w:t>
      </w:r>
    </w:p>
    <w:p>
      <w:pPr>
        <w:pStyle w:val="ListParagraph"/>
        <w:numPr>
          <w:ilvl w:val="3"/>
          <w:numId w:val="2"/>
        </w:numPr>
        <w:tabs>
          <w:tab w:val="clear" w:pos="720"/>
          <w:tab w:val="left" w:pos="709" w:leader="none"/>
          <w:tab w:val="left" w:pos="1675" w:leader="none"/>
        </w:tabs>
        <w:spacing w:lineRule="auto" w:line="259"/>
        <w:ind w:hanging="1080" w:left="1818" w:right="566"/>
        <w:jc w:val="both"/>
        <w:rPr/>
      </w:pPr>
      <w:r>
        <w:rPr/>
        <w:t>Paslaugų teikėjo atliktiems darbams taikomas 12 (dvylikos) mėnesių garantinis laikotarpis, pradedant skaičiuoti nuo darbų priėmimo - perdavimo akto pasirašymo.</w:t>
      </w:r>
    </w:p>
    <w:p>
      <w:pPr>
        <w:pStyle w:val="ListParagraph"/>
        <w:numPr>
          <w:ilvl w:val="3"/>
          <w:numId w:val="2"/>
        </w:numPr>
        <w:tabs>
          <w:tab w:val="clear" w:pos="720"/>
          <w:tab w:val="left" w:pos="709" w:leader="none"/>
          <w:tab w:val="left" w:pos="1675" w:leader="none"/>
        </w:tabs>
        <w:spacing w:lineRule="auto" w:line="259"/>
        <w:ind w:hanging="1080" w:left="1818" w:right="566"/>
        <w:jc w:val="both"/>
        <w:rPr/>
      </w:pPr>
      <w:r>
        <w:rPr/>
        <w:t>Garantiniu laikotarpiu aptiktus defektus paslaugų teikėjas šalina nemokamai.</w:t>
      </w:r>
    </w:p>
    <w:p>
      <w:pPr>
        <w:pStyle w:val="ListParagraph"/>
        <w:numPr>
          <w:ilvl w:val="2"/>
          <w:numId w:val="2"/>
        </w:numPr>
        <w:tabs>
          <w:tab w:val="clear" w:pos="720"/>
          <w:tab w:val="left" w:pos="709" w:leader="none"/>
          <w:tab w:val="left" w:pos="1675" w:leader="none"/>
        </w:tabs>
        <w:spacing w:lineRule="auto" w:line="259"/>
        <w:ind w:hanging="720" w:left="1212" w:right="566"/>
        <w:jc w:val="both"/>
        <w:rPr/>
      </w:pPr>
      <w:r>
        <w:rPr/>
        <w:t>Sistemų kūrimo paslaugų teikimo metu pateikiama dokumentacija:</w:t>
      </w:r>
    </w:p>
    <w:p>
      <w:pPr>
        <w:pStyle w:val="ListParagraph"/>
        <w:numPr>
          <w:ilvl w:val="3"/>
          <w:numId w:val="2"/>
        </w:numPr>
        <w:tabs>
          <w:tab w:val="clear" w:pos="720"/>
          <w:tab w:val="left" w:pos="709" w:leader="none"/>
          <w:tab w:val="left" w:pos="1675" w:leader="none"/>
        </w:tabs>
        <w:spacing w:lineRule="auto" w:line="259"/>
        <w:ind w:hanging="1080" w:left="1818" w:right="566"/>
        <w:jc w:val="both"/>
        <w:rPr/>
      </w:pPr>
      <w:r>
        <w:rPr/>
        <w:t>sistemos diegimo planas;</w:t>
      </w:r>
    </w:p>
    <w:p>
      <w:pPr>
        <w:pStyle w:val="ListParagraph"/>
        <w:numPr>
          <w:ilvl w:val="3"/>
          <w:numId w:val="2"/>
        </w:numPr>
        <w:tabs>
          <w:tab w:val="clear" w:pos="720"/>
          <w:tab w:val="left" w:pos="709" w:leader="none"/>
          <w:tab w:val="left" w:pos="1675" w:leader="none"/>
        </w:tabs>
        <w:spacing w:lineRule="auto" w:line="259"/>
        <w:ind w:hanging="1080" w:left="1818" w:right="566"/>
        <w:jc w:val="both"/>
        <w:rPr/>
      </w:pPr>
      <w:r>
        <w:rPr/>
        <w:t>sistemos įdiegimo instrukcija;</w:t>
      </w:r>
    </w:p>
    <w:p>
      <w:pPr>
        <w:pStyle w:val="ListParagraph"/>
        <w:numPr>
          <w:ilvl w:val="3"/>
          <w:numId w:val="2"/>
        </w:numPr>
        <w:tabs>
          <w:tab w:val="clear" w:pos="720"/>
          <w:tab w:val="left" w:pos="709" w:leader="none"/>
          <w:tab w:val="left" w:pos="1675" w:leader="none"/>
        </w:tabs>
        <w:spacing w:lineRule="auto" w:line="259"/>
        <w:ind w:hanging="1080" w:left="1818" w:right="566"/>
        <w:jc w:val="both"/>
        <w:rPr/>
      </w:pPr>
      <w:r>
        <w:rPr/>
        <w:t>detalios analizės ir projektavimo dokumentai;</w:t>
      </w:r>
    </w:p>
    <w:p>
      <w:pPr>
        <w:pStyle w:val="ListParagraph"/>
        <w:numPr>
          <w:ilvl w:val="3"/>
          <w:numId w:val="2"/>
        </w:numPr>
        <w:tabs>
          <w:tab w:val="clear" w:pos="720"/>
          <w:tab w:val="left" w:pos="709" w:leader="none"/>
          <w:tab w:val="left" w:pos="1675" w:leader="none"/>
        </w:tabs>
        <w:spacing w:lineRule="auto" w:line="259"/>
        <w:ind w:hanging="1080" w:left="1818" w:right="566"/>
        <w:jc w:val="both"/>
        <w:rPr/>
      </w:pPr>
      <w:r>
        <w:rPr/>
        <w:t>testavimo scenarijai ir testavimo ataskaita;</w:t>
      </w:r>
    </w:p>
    <w:p>
      <w:pPr>
        <w:pStyle w:val="ListParagraph"/>
        <w:numPr>
          <w:ilvl w:val="3"/>
          <w:numId w:val="2"/>
        </w:numPr>
        <w:tabs>
          <w:tab w:val="clear" w:pos="720"/>
          <w:tab w:val="left" w:pos="709" w:leader="none"/>
          <w:tab w:val="left" w:pos="1675" w:leader="none"/>
        </w:tabs>
        <w:spacing w:lineRule="auto" w:line="259"/>
        <w:ind w:hanging="1080" w:left="1818" w:right="566"/>
        <w:jc w:val="both"/>
        <w:rPr/>
      </w:pPr>
      <w:r>
        <w:rPr/>
        <w:t>mokomoji medžiaga;</w:t>
      </w:r>
    </w:p>
    <w:p>
      <w:pPr>
        <w:pStyle w:val="ListParagraph"/>
        <w:numPr>
          <w:ilvl w:val="3"/>
          <w:numId w:val="2"/>
        </w:numPr>
        <w:tabs>
          <w:tab w:val="clear" w:pos="720"/>
          <w:tab w:val="left" w:pos="709" w:leader="none"/>
          <w:tab w:val="left" w:pos="1675" w:leader="none"/>
        </w:tabs>
        <w:spacing w:lineRule="auto" w:line="259"/>
        <w:ind w:hanging="1080" w:left="1818" w:right="566"/>
        <w:jc w:val="both"/>
        <w:rPr/>
      </w:pPr>
      <w:r>
        <w:rPr/>
        <w:t>programiniai kodai ir konfigūracinių parametrų aprašai;</w:t>
      </w:r>
    </w:p>
    <w:p>
      <w:pPr>
        <w:pStyle w:val="ListParagraph"/>
        <w:numPr>
          <w:ilvl w:val="3"/>
          <w:numId w:val="2"/>
        </w:numPr>
        <w:tabs>
          <w:tab w:val="clear" w:pos="720"/>
          <w:tab w:val="left" w:pos="709" w:leader="none"/>
          <w:tab w:val="left" w:pos="1675" w:leader="none"/>
        </w:tabs>
        <w:spacing w:lineRule="auto" w:line="259"/>
        <w:ind w:hanging="1080" w:left="1818" w:right="566"/>
        <w:jc w:val="both"/>
        <w:rPr/>
      </w:pPr>
      <w:r>
        <w:rPr/>
        <w:t>architektūros, techninės ir programinės įrangos konfigūracijos ir integracinių sąsajų specifikacija.</w:t>
      </w:r>
    </w:p>
    <w:p>
      <w:pPr>
        <w:pStyle w:val="ListParagraph"/>
        <w:numPr>
          <w:ilvl w:val="2"/>
          <w:numId w:val="2"/>
        </w:numPr>
        <w:tabs>
          <w:tab w:val="clear" w:pos="720"/>
          <w:tab w:val="left" w:pos="709" w:leader="none"/>
          <w:tab w:val="left" w:pos="1675" w:leader="none"/>
        </w:tabs>
        <w:spacing w:lineRule="auto" w:line="259"/>
        <w:ind w:hanging="720" w:left="1212" w:right="566"/>
        <w:jc w:val="both"/>
        <w:rPr/>
      </w:pPr>
      <w:r>
        <w:rPr/>
        <w:t>Klaidų reakcijos ir sprendimo laikų terminai:</w:t>
      </w:r>
    </w:p>
    <w:p>
      <w:pPr>
        <w:pStyle w:val="ListParagraph"/>
        <w:widowControl/>
        <w:spacing w:lineRule="auto" w:line="276" w:before="0" w:after="5"/>
        <w:ind w:hanging="0" w:left="540" w:right="692"/>
        <w:contextualSpacing/>
        <w:jc w:val="right"/>
        <w:rPr/>
      </w:pPr>
      <w:r>
        <w:rPr/>
        <w:t>1 lentelė</w:t>
      </w:r>
    </w:p>
    <w:tbl>
      <w:tblPr>
        <w:tblStyle w:val="Lentelstinklelis"/>
        <w:tblW w:w="9639"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1016"/>
        <w:gridCol w:w="1685"/>
        <w:gridCol w:w="3486"/>
        <w:gridCol w:w="3451"/>
      </w:tblGrid>
      <w:tr>
        <w:trPr/>
        <w:tc>
          <w:tcPr>
            <w:tcW w:w="1016" w:type="dxa"/>
            <w:tcBorders/>
            <w:vAlign w:val="center"/>
          </w:tcPr>
          <w:p>
            <w:pPr>
              <w:pStyle w:val="Normal"/>
              <w:widowControl/>
              <w:suppressAutoHyphens w:val="true"/>
              <w:spacing w:lineRule="auto" w:line="271" w:before="0" w:after="0"/>
              <w:ind w:right="51"/>
              <w:jc w:val="center"/>
              <w:rPr>
                <w:b/>
                <w:bCs/>
              </w:rPr>
            </w:pPr>
            <w:r>
              <w:rPr>
                <w:b/>
                <w:bCs/>
                <w:kern w:val="0"/>
                <w:sz w:val="22"/>
                <w:szCs w:val="22"/>
                <w:lang w:eastAsia="en-US" w:bidi="ar-SA"/>
              </w:rPr>
              <w:t>Eil. Nr.</w:t>
            </w:r>
          </w:p>
        </w:tc>
        <w:tc>
          <w:tcPr>
            <w:tcW w:w="1685" w:type="dxa"/>
            <w:tcBorders/>
            <w:vAlign w:val="center"/>
          </w:tcPr>
          <w:p>
            <w:pPr>
              <w:pStyle w:val="Normal"/>
              <w:widowControl/>
              <w:suppressAutoHyphens w:val="true"/>
              <w:spacing w:lineRule="auto" w:line="271" w:before="0" w:after="0"/>
              <w:jc w:val="center"/>
              <w:rPr>
                <w:b/>
                <w:bCs/>
              </w:rPr>
            </w:pPr>
            <w:r>
              <w:rPr>
                <w:b/>
                <w:bCs/>
                <w:kern w:val="0"/>
                <w:sz w:val="22"/>
                <w:szCs w:val="22"/>
                <w:lang w:eastAsia="en-US" w:bidi="ar-SA"/>
              </w:rPr>
              <w:t>Klaida</w:t>
            </w:r>
          </w:p>
        </w:tc>
        <w:tc>
          <w:tcPr>
            <w:tcW w:w="3486" w:type="dxa"/>
            <w:tcBorders/>
            <w:vAlign w:val="center"/>
          </w:tcPr>
          <w:p>
            <w:pPr>
              <w:pStyle w:val="Normal"/>
              <w:widowControl/>
              <w:suppressAutoHyphens w:val="true"/>
              <w:spacing w:lineRule="auto" w:line="271" w:before="0" w:after="0"/>
              <w:jc w:val="center"/>
              <w:rPr>
                <w:kern w:val="0"/>
                <w:sz w:val="22"/>
                <w:szCs w:val="22"/>
                <w:lang w:eastAsia="en-US" w:bidi="ar-SA"/>
              </w:rPr>
            </w:pPr>
            <w:r>
              <w:rPr>
                <w:b/>
                <w:kern w:val="0"/>
                <w:sz w:val="22"/>
                <w:szCs w:val="22"/>
                <w:lang w:eastAsia="en-US" w:bidi="ar-SA"/>
              </w:rPr>
              <w:t>Reakcijos* trukmė (Užsakovo darbo valandomis)</w:t>
            </w:r>
          </w:p>
        </w:tc>
        <w:tc>
          <w:tcPr>
            <w:tcW w:w="3451" w:type="dxa"/>
            <w:tcBorders/>
            <w:vAlign w:val="center"/>
          </w:tcPr>
          <w:p>
            <w:pPr>
              <w:pStyle w:val="Normal"/>
              <w:widowControl/>
              <w:suppressAutoHyphens w:val="true"/>
              <w:spacing w:lineRule="auto" w:line="271" w:before="0" w:after="0"/>
              <w:jc w:val="center"/>
              <w:rPr>
                <w:kern w:val="0"/>
                <w:sz w:val="22"/>
                <w:szCs w:val="22"/>
                <w:lang w:eastAsia="en-US" w:bidi="ar-SA"/>
              </w:rPr>
            </w:pPr>
            <w:r>
              <w:rPr>
                <w:b/>
                <w:kern w:val="0"/>
                <w:sz w:val="22"/>
                <w:szCs w:val="22"/>
                <w:lang w:eastAsia="en-US" w:bidi="ar-SA"/>
              </w:rPr>
              <w:t>Sprendimo trukmė (Užsakovo darbo valandomis)</w:t>
            </w:r>
          </w:p>
        </w:tc>
      </w:tr>
      <w:tr>
        <w:trPr/>
        <w:tc>
          <w:tcPr>
            <w:tcW w:w="1016" w:type="dxa"/>
            <w:tcBorders/>
          </w:tcPr>
          <w:p>
            <w:pPr>
              <w:pStyle w:val="Normal"/>
              <w:widowControl/>
              <w:suppressAutoHyphens w:val="true"/>
              <w:spacing w:lineRule="auto" w:line="271" w:before="0" w:after="0"/>
              <w:ind w:right="601"/>
              <w:jc w:val="left"/>
              <w:rPr>
                <w:kern w:val="0"/>
                <w:sz w:val="22"/>
                <w:szCs w:val="22"/>
                <w:lang w:eastAsia="en-US" w:bidi="ar-SA"/>
              </w:rPr>
            </w:pPr>
            <w:r>
              <w:rPr>
                <w:kern w:val="0"/>
                <w:sz w:val="22"/>
                <w:szCs w:val="22"/>
                <w:lang w:eastAsia="en-US" w:bidi="ar-SA"/>
              </w:rPr>
              <w:t>1.</w:t>
            </w:r>
          </w:p>
        </w:tc>
        <w:tc>
          <w:tcPr>
            <w:tcW w:w="1685" w:type="dxa"/>
            <w:tcBorders/>
          </w:tcPr>
          <w:p>
            <w:pPr>
              <w:pStyle w:val="Normal"/>
              <w:widowControl/>
              <w:suppressAutoHyphens w:val="true"/>
              <w:spacing w:lineRule="auto" w:line="271" w:before="0" w:after="0"/>
              <w:ind w:right="601"/>
              <w:jc w:val="left"/>
              <w:rPr>
                <w:kern w:val="0"/>
                <w:sz w:val="22"/>
                <w:szCs w:val="22"/>
                <w:lang w:eastAsia="en-US" w:bidi="ar-SA"/>
              </w:rPr>
            </w:pPr>
            <w:r>
              <w:rPr>
                <w:kern w:val="0"/>
                <w:sz w:val="22"/>
                <w:szCs w:val="22"/>
                <w:lang w:eastAsia="en-US" w:bidi="ar-SA"/>
              </w:rPr>
              <w:t>Kritinė</w:t>
            </w:r>
          </w:p>
        </w:tc>
        <w:tc>
          <w:tcPr>
            <w:tcW w:w="3486" w:type="dxa"/>
            <w:tcBorders/>
          </w:tcPr>
          <w:p>
            <w:pPr>
              <w:pStyle w:val="Normal"/>
              <w:widowControl/>
              <w:suppressAutoHyphens w:val="true"/>
              <w:spacing w:lineRule="auto" w:line="271" w:before="0" w:after="0"/>
              <w:ind w:right="601"/>
              <w:jc w:val="left"/>
              <w:rPr>
                <w:kern w:val="0"/>
                <w:sz w:val="22"/>
                <w:szCs w:val="22"/>
                <w:lang w:eastAsia="en-US" w:bidi="ar-SA"/>
              </w:rPr>
            </w:pPr>
            <w:r>
              <w:rPr>
                <w:kern w:val="0"/>
                <w:sz w:val="22"/>
                <w:szCs w:val="22"/>
                <w:lang w:eastAsia="en-US" w:bidi="ar-SA"/>
              </w:rPr>
              <w:t>iki 2 darbo valandų</w:t>
            </w:r>
          </w:p>
        </w:tc>
        <w:tc>
          <w:tcPr>
            <w:tcW w:w="3451" w:type="dxa"/>
            <w:tcBorders/>
          </w:tcPr>
          <w:p>
            <w:pPr>
              <w:pStyle w:val="Normal"/>
              <w:widowControl/>
              <w:suppressAutoHyphens w:val="true"/>
              <w:spacing w:lineRule="auto" w:line="271" w:before="0" w:after="0"/>
              <w:ind w:right="601"/>
              <w:jc w:val="left"/>
              <w:rPr>
                <w:kern w:val="0"/>
                <w:sz w:val="22"/>
                <w:szCs w:val="22"/>
                <w:lang w:eastAsia="en-US" w:bidi="ar-SA"/>
              </w:rPr>
            </w:pPr>
            <w:r>
              <w:rPr>
                <w:kern w:val="0"/>
                <w:sz w:val="22"/>
                <w:szCs w:val="22"/>
                <w:lang w:eastAsia="en-US" w:bidi="ar-SA"/>
              </w:rPr>
              <w:t>Ne vėliau kaip per 5 darbo valandas po reakcijos</w:t>
            </w:r>
          </w:p>
        </w:tc>
      </w:tr>
      <w:tr>
        <w:trPr/>
        <w:tc>
          <w:tcPr>
            <w:tcW w:w="1016" w:type="dxa"/>
            <w:tcBorders/>
          </w:tcPr>
          <w:p>
            <w:pPr>
              <w:pStyle w:val="Normal"/>
              <w:widowControl/>
              <w:suppressAutoHyphens w:val="true"/>
              <w:spacing w:lineRule="auto" w:line="271" w:before="0" w:after="0"/>
              <w:ind w:right="601"/>
              <w:jc w:val="left"/>
              <w:rPr>
                <w:kern w:val="0"/>
                <w:sz w:val="22"/>
                <w:szCs w:val="22"/>
                <w:lang w:eastAsia="en-US" w:bidi="ar-SA"/>
              </w:rPr>
            </w:pPr>
            <w:r>
              <w:rPr>
                <w:kern w:val="0"/>
                <w:sz w:val="22"/>
                <w:szCs w:val="22"/>
                <w:lang w:eastAsia="en-US" w:bidi="ar-SA"/>
              </w:rPr>
              <w:t>2.</w:t>
            </w:r>
          </w:p>
        </w:tc>
        <w:tc>
          <w:tcPr>
            <w:tcW w:w="1685" w:type="dxa"/>
            <w:tcBorders/>
          </w:tcPr>
          <w:p>
            <w:pPr>
              <w:pStyle w:val="Normal"/>
              <w:widowControl/>
              <w:suppressAutoHyphens w:val="true"/>
              <w:spacing w:lineRule="auto" w:line="271" w:before="0" w:after="0"/>
              <w:ind w:right="601"/>
              <w:jc w:val="left"/>
              <w:rPr>
                <w:kern w:val="0"/>
                <w:sz w:val="22"/>
                <w:szCs w:val="22"/>
                <w:lang w:eastAsia="en-US" w:bidi="ar-SA"/>
              </w:rPr>
            </w:pPr>
            <w:r>
              <w:rPr>
                <w:kern w:val="0"/>
                <w:sz w:val="22"/>
                <w:szCs w:val="22"/>
                <w:lang w:eastAsia="en-US" w:bidi="ar-SA"/>
              </w:rPr>
              <w:t>Aukšta</w:t>
            </w:r>
          </w:p>
        </w:tc>
        <w:tc>
          <w:tcPr>
            <w:tcW w:w="3486" w:type="dxa"/>
            <w:tcBorders/>
          </w:tcPr>
          <w:p>
            <w:pPr>
              <w:pStyle w:val="Normal"/>
              <w:widowControl/>
              <w:suppressAutoHyphens w:val="true"/>
              <w:spacing w:lineRule="auto" w:line="271" w:before="0" w:after="0"/>
              <w:ind w:right="601"/>
              <w:jc w:val="left"/>
              <w:rPr>
                <w:kern w:val="0"/>
                <w:sz w:val="22"/>
                <w:szCs w:val="22"/>
                <w:lang w:eastAsia="en-US" w:bidi="ar-SA"/>
              </w:rPr>
            </w:pPr>
            <w:r>
              <w:rPr>
                <w:kern w:val="0"/>
                <w:sz w:val="22"/>
                <w:szCs w:val="22"/>
                <w:lang w:eastAsia="en-US" w:bidi="ar-SA"/>
              </w:rPr>
              <w:t>iki 4 darbo valandų</w:t>
            </w:r>
          </w:p>
        </w:tc>
        <w:tc>
          <w:tcPr>
            <w:tcW w:w="3451" w:type="dxa"/>
            <w:tcBorders/>
          </w:tcPr>
          <w:p>
            <w:pPr>
              <w:pStyle w:val="Normal"/>
              <w:widowControl/>
              <w:suppressAutoHyphens w:val="true"/>
              <w:spacing w:lineRule="auto" w:line="271" w:before="0" w:after="0"/>
              <w:ind w:right="601"/>
              <w:jc w:val="left"/>
              <w:rPr>
                <w:kern w:val="0"/>
                <w:sz w:val="22"/>
                <w:szCs w:val="22"/>
                <w:lang w:eastAsia="en-US" w:bidi="ar-SA"/>
              </w:rPr>
            </w:pPr>
            <w:r>
              <w:rPr>
                <w:kern w:val="0"/>
                <w:sz w:val="22"/>
                <w:szCs w:val="22"/>
                <w:lang w:eastAsia="en-US" w:bidi="ar-SA"/>
              </w:rPr>
              <w:t>Ne vėliau kaip per 10 darbo valandų po reakcijos</w:t>
            </w:r>
          </w:p>
        </w:tc>
      </w:tr>
      <w:tr>
        <w:trPr/>
        <w:tc>
          <w:tcPr>
            <w:tcW w:w="1016" w:type="dxa"/>
            <w:tcBorders/>
          </w:tcPr>
          <w:p>
            <w:pPr>
              <w:pStyle w:val="Normal"/>
              <w:widowControl/>
              <w:suppressAutoHyphens w:val="true"/>
              <w:spacing w:lineRule="auto" w:line="271" w:before="0" w:after="0"/>
              <w:ind w:right="601"/>
              <w:jc w:val="left"/>
              <w:rPr>
                <w:kern w:val="0"/>
                <w:sz w:val="22"/>
                <w:szCs w:val="22"/>
                <w:lang w:eastAsia="en-US" w:bidi="ar-SA"/>
              </w:rPr>
            </w:pPr>
            <w:r>
              <w:rPr>
                <w:kern w:val="0"/>
                <w:sz w:val="22"/>
                <w:szCs w:val="22"/>
                <w:lang w:eastAsia="en-US" w:bidi="ar-SA"/>
              </w:rPr>
              <w:t>3.</w:t>
            </w:r>
          </w:p>
        </w:tc>
        <w:tc>
          <w:tcPr>
            <w:tcW w:w="1685" w:type="dxa"/>
            <w:tcBorders/>
          </w:tcPr>
          <w:p>
            <w:pPr>
              <w:pStyle w:val="Normal"/>
              <w:widowControl/>
              <w:suppressAutoHyphens w:val="true"/>
              <w:spacing w:lineRule="auto" w:line="271" w:before="0" w:after="0"/>
              <w:ind w:right="601"/>
              <w:jc w:val="left"/>
              <w:rPr>
                <w:kern w:val="0"/>
                <w:sz w:val="22"/>
                <w:szCs w:val="22"/>
                <w:lang w:eastAsia="en-US" w:bidi="ar-SA"/>
              </w:rPr>
            </w:pPr>
            <w:r>
              <w:rPr>
                <w:kern w:val="0"/>
                <w:sz w:val="22"/>
                <w:szCs w:val="22"/>
                <w:lang w:eastAsia="en-US" w:bidi="ar-SA"/>
              </w:rPr>
              <w:t>Vidutinė</w:t>
            </w:r>
          </w:p>
        </w:tc>
        <w:tc>
          <w:tcPr>
            <w:tcW w:w="3486" w:type="dxa"/>
            <w:tcBorders/>
          </w:tcPr>
          <w:p>
            <w:pPr>
              <w:pStyle w:val="Normal"/>
              <w:widowControl/>
              <w:suppressAutoHyphens w:val="true"/>
              <w:spacing w:lineRule="auto" w:line="271" w:before="0" w:after="0"/>
              <w:ind w:right="601"/>
              <w:jc w:val="left"/>
              <w:rPr>
                <w:kern w:val="0"/>
                <w:sz w:val="22"/>
                <w:szCs w:val="22"/>
                <w:lang w:eastAsia="en-US" w:bidi="ar-SA"/>
              </w:rPr>
            </w:pPr>
            <w:r>
              <w:rPr>
                <w:kern w:val="0"/>
                <w:sz w:val="22"/>
                <w:szCs w:val="22"/>
                <w:lang w:eastAsia="en-US" w:bidi="ar-SA"/>
              </w:rPr>
              <w:t>iki 6 darbo valandų</w:t>
            </w:r>
          </w:p>
        </w:tc>
        <w:tc>
          <w:tcPr>
            <w:tcW w:w="3451" w:type="dxa"/>
            <w:tcBorders/>
          </w:tcPr>
          <w:p>
            <w:pPr>
              <w:pStyle w:val="Normal"/>
              <w:widowControl/>
              <w:suppressAutoHyphens w:val="true"/>
              <w:spacing w:lineRule="auto" w:line="271" w:before="0" w:after="0"/>
              <w:ind w:right="601"/>
              <w:jc w:val="left"/>
              <w:rPr>
                <w:kern w:val="0"/>
                <w:sz w:val="22"/>
                <w:szCs w:val="22"/>
                <w:lang w:eastAsia="en-US" w:bidi="ar-SA"/>
              </w:rPr>
            </w:pPr>
            <w:r>
              <w:rPr>
                <w:kern w:val="0"/>
                <w:sz w:val="22"/>
                <w:szCs w:val="22"/>
                <w:lang w:eastAsia="en-US" w:bidi="ar-SA"/>
              </w:rPr>
              <w:t>Ne vėliau kaip per 40 darbo valandų po reakcijos</w:t>
            </w:r>
          </w:p>
        </w:tc>
      </w:tr>
      <w:tr>
        <w:trPr/>
        <w:tc>
          <w:tcPr>
            <w:tcW w:w="1016" w:type="dxa"/>
            <w:tcBorders/>
          </w:tcPr>
          <w:p>
            <w:pPr>
              <w:pStyle w:val="Normal"/>
              <w:widowControl/>
              <w:suppressAutoHyphens w:val="true"/>
              <w:spacing w:lineRule="auto" w:line="271" w:before="0" w:after="0"/>
              <w:ind w:right="601"/>
              <w:jc w:val="left"/>
              <w:rPr>
                <w:kern w:val="0"/>
                <w:sz w:val="22"/>
                <w:szCs w:val="22"/>
                <w:lang w:eastAsia="en-US" w:bidi="ar-SA"/>
              </w:rPr>
            </w:pPr>
            <w:r>
              <w:rPr>
                <w:kern w:val="0"/>
                <w:sz w:val="22"/>
                <w:szCs w:val="22"/>
                <w:lang w:eastAsia="en-US" w:bidi="ar-SA"/>
              </w:rPr>
              <w:t>4.</w:t>
            </w:r>
          </w:p>
        </w:tc>
        <w:tc>
          <w:tcPr>
            <w:tcW w:w="1685" w:type="dxa"/>
            <w:tcBorders/>
          </w:tcPr>
          <w:p>
            <w:pPr>
              <w:pStyle w:val="Normal"/>
              <w:widowControl/>
              <w:suppressAutoHyphens w:val="true"/>
              <w:spacing w:lineRule="auto" w:line="271" w:before="0" w:after="0"/>
              <w:ind w:right="601"/>
              <w:jc w:val="left"/>
              <w:rPr>
                <w:kern w:val="0"/>
                <w:sz w:val="22"/>
                <w:szCs w:val="22"/>
                <w:lang w:eastAsia="en-US" w:bidi="ar-SA"/>
              </w:rPr>
            </w:pPr>
            <w:r>
              <w:rPr>
                <w:kern w:val="0"/>
                <w:sz w:val="22"/>
                <w:szCs w:val="22"/>
                <w:lang w:eastAsia="en-US" w:bidi="ar-SA"/>
              </w:rPr>
              <w:t>Žema</w:t>
            </w:r>
          </w:p>
        </w:tc>
        <w:tc>
          <w:tcPr>
            <w:tcW w:w="3486" w:type="dxa"/>
            <w:tcBorders/>
          </w:tcPr>
          <w:p>
            <w:pPr>
              <w:pStyle w:val="Normal"/>
              <w:widowControl/>
              <w:suppressAutoHyphens w:val="true"/>
              <w:spacing w:lineRule="auto" w:line="271" w:before="0" w:after="0"/>
              <w:ind w:right="601"/>
              <w:jc w:val="left"/>
              <w:rPr>
                <w:kern w:val="0"/>
                <w:sz w:val="22"/>
                <w:szCs w:val="22"/>
                <w:lang w:eastAsia="en-US" w:bidi="ar-SA"/>
              </w:rPr>
            </w:pPr>
            <w:r>
              <w:rPr>
                <w:kern w:val="0"/>
                <w:sz w:val="22"/>
                <w:szCs w:val="22"/>
                <w:lang w:eastAsia="en-US" w:bidi="ar-SA"/>
              </w:rPr>
              <w:t>iki 8 darbo valandų</w:t>
            </w:r>
          </w:p>
        </w:tc>
        <w:tc>
          <w:tcPr>
            <w:tcW w:w="3451" w:type="dxa"/>
            <w:tcBorders/>
          </w:tcPr>
          <w:p>
            <w:pPr>
              <w:pStyle w:val="Normal"/>
              <w:widowControl/>
              <w:suppressAutoHyphens w:val="true"/>
              <w:spacing w:lineRule="auto" w:line="271" w:before="0" w:after="0"/>
              <w:ind w:right="601"/>
              <w:jc w:val="left"/>
              <w:rPr>
                <w:kern w:val="0"/>
                <w:sz w:val="22"/>
                <w:szCs w:val="22"/>
                <w:lang w:eastAsia="en-US" w:bidi="ar-SA"/>
              </w:rPr>
            </w:pPr>
            <w:r>
              <w:rPr>
                <w:kern w:val="0"/>
                <w:sz w:val="22"/>
                <w:szCs w:val="22"/>
                <w:lang w:eastAsia="en-US" w:bidi="ar-SA"/>
              </w:rPr>
              <w:t>Ne vėliau kaip per 80 darbo valandų po reakcijos</w:t>
            </w:r>
          </w:p>
        </w:tc>
      </w:tr>
    </w:tbl>
    <w:p>
      <w:pPr>
        <w:pStyle w:val="ListParagraph"/>
        <w:tabs>
          <w:tab w:val="clear" w:pos="720"/>
          <w:tab w:val="left" w:pos="851" w:leader="none"/>
          <w:tab w:val="left" w:pos="993" w:leader="none"/>
        </w:tabs>
        <w:spacing w:lineRule="auto" w:line="276" w:before="0" w:after="160"/>
        <w:ind w:hanging="10" w:left="900" w:right="650"/>
        <w:jc w:val="both"/>
        <w:rPr/>
      </w:pPr>
      <w:r>
        <w:rPr>
          <w:i/>
          <w:iCs/>
        </w:rPr>
        <w:tab/>
        <w:t>*Reakcija – Reakcijos į Sistemų klaidų sutrikimus trukmė suprantama kaip laiko tarpsnis nuo Užsakovo pranešimo pateikimo momento iki jo sprendimo pradžios.</w:t>
      </w:r>
    </w:p>
    <w:p>
      <w:pPr>
        <w:pStyle w:val="Heading2"/>
        <w:numPr>
          <w:ilvl w:val="2"/>
          <w:numId w:val="2"/>
        </w:numPr>
        <w:tabs>
          <w:tab w:val="clear" w:pos="720"/>
          <w:tab w:val="left" w:pos="1260" w:leader="none"/>
        </w:tabs>
        <w:rPr>
          <w:b w:val="false"/>
          <w:bCs w:val="false"/>
        </w:rPr>
      </w:pPr>
      <w:r>
        <w:rPr>
          <w:b w:val="false"/>
          <w:bCs w:val="false"/>
        </w:rPr>
        <w:t>Konsultavimo</w:t>
      </w:r>
      <w:r>
        <w:rPr>
          <w:b w:val="false"/>
          <w:bCs w:val="false"/>
          <w:spacing w:val="-6"/>
        </w:rPr>
        <w:t xml:space="preserve"> </w:t>
      </w:r>
      <w:r>
        <w:rPr>
          <w:b w:val="false"/>
          <w:bCs w:val="false"/>
        </w:rPr>
        <w:t>paslaugų</w:t>
      </w:r>
      <w:r>
        <w:rPr>
          <w:b w:val="false"/>
          <w:bCs w:val="false"/>
          <w:spacing w:val="-8"/>
        </w:rPr>
        <w:t xml:space="preserve"> </w:t>
      </w:r>
      <w:r>
        <w:rPr>
          <w:b w:val="false"/>
          <w:bCs w:val="false"/>
        </w:rPr>
        <w:t>teikimo</w:t>
      </w:r>
      <w:r>
        <w:rPr>
          <w:b w:val="false"/>
          <w:bCs w:val="false"/>
          <w:spacing w:val="-8"/>
        </w:rPr>
        <w:t xml:space="preserve"> </w:t>
      </w:r>
      <w:r>
        <w:rPr>
          <w:b w:val="false"/>
          <w:bCs w:val="false"/>
        </w:rPr>
        <w:t>tvarka</w:t>
      </w:r>
      <w:r>
        <w:rPr>
          <w:b w:val="false"/>
          <w:bCs w:val="false"/>
          <w:spacing w:val="-8"/>
        </w:rPr>
        <w:t xml:space="preserve"> </w:t>
      </w:r>
      <w:r>
        <w:rPr>
          <w:b w:val="false"/>
          <w:bCs w:val="false"/>
        </w:rPr>
        <w:t>ir</w:t>
      </w:r>
      <w:r>
        <w:rPr>
          <w:b w:val="false"/>
          <w:bCs w:val="false"/>
          <w:spacing w:val="-6"/>
        </w:rPr>
        <w:t xml:space="preserve"> </w:t>
      </w:r>
      <w:r>
        <w:rPr>
          <w:b w:val="false"/>
          <w:bCs w:val="false"/>
          <w:spacing w:val="-2"/>
        </w:rPr>
        <w:t>terminai:</w:t>
      </w:r>
    </w:p>
    <w:p>
      <w:pPr>
        <w:pStyle w:val="ListParagraph"/>
        <w:numPr>
          <w:ilvl w:val="3"/>
          <w:numId w:val="2"/>
        </w:numPr>
        <w:tabs>
          <w:tab w:val="clear" w:pos="720"/>
          <w:tab w:val="left" w:pos="1260" w:leader="none"/>
          <w:tab w:val="left" w:pos="1853" w:leader="none"/>
        </w:tabs>
        <w:spacing w:lineRule="auto" w:line="264"/>
        <w:ind w:hanging="1080" w:left="1818" w:right="566"/>
        <w:jc w:val="both"/>
        <w:rPr/>
      </w:pPr>
      <w:r>
        <w:rPr/>
        <w:t>Konsultavimo paslaugos teikiamos esant poreikiui pagal Užsakovo elektroniniu būdu per Paslaugų teikėjo elektroninę pagalbos tarnybą pateikiamus paklausimus (ar kita rašytine Paslaugų teikėjo pasiūlyta ir Užsakovui priimtina forma).</w:t>
      </w:r>
    </w:p>
    <w:p>
      <w:pPr>
        <w:pStyle w:val="ListParagraph"/>
        <w:numPr>
          <w:ilvl w:val="3"/>
          <w:numId w:val="2"/>
        </w:numPr>
        <w:tabs>
          <w:tab w:val="clear" w:pos="720"/>
          <w:tab w:val="left" w:pos="1260" w:leader="none"/>
          <w:tab w:val="left" w:pos="1853" w:leader="none"/>
        </w:tabs>
        <w:spacing w:lineRule="auto" w:line="264"/>
        <w:ind w:hanging="1080" w:left="1818" w:right="566"/>
        <w:jc w:val="both"/>
        <w:rPr/>
      </w:pPr>
      <w:r>
        <w:rPr/>
        <w:t>Priklausomai</w:t>
      </w:r>
      <w:r>
        <w:rPr>
          <w:spacing w:val="-16"/>
        </w:rPr>
        <w:t xml:space="preserve"> </w:t>
      </w:r>
      <w:r>
        <w:rPr/>
        <w:t>nuo</w:t>
      </w:r>
      <w:r>
        <w:rPr>
          <w:spacing w:val="-15"/>
        </w:rPr>
        <w:t xml:space="preserve"> </w:t>
      </w:r>
      <w:r>
        <w:rPr/>
        <w:t>to,</w:t>
      </w:r>
      <w:r>
        <w:rPr>
          <w:spacing w:val="-15"/>
        </w:rPr>
        <w:t xml:space="preserve"> </w:t>
      </w:r>
      <w:r>
        <w:rPr/>
        <w:t>kokiu</w:t>
      </w:r>
      <w:r>
        <w:rPr>
          <w:spacing w:val="-16"/>
        </w:rPr>
        <w:t xml:space="preserve"> </w:t>
      </w:r>
      <w:r>
        <w:rPr/>
        <w:t>būdu</w:t>
      </w:r>
      <w:r>
        <w:rPr>
          <w:spacing w:val="-15"/>
        </w:rPr>
        <w:t xml:space="preserve"> </w:t>
      </w:r>
      <w:r>
        <w:rPr/>
        <w:t>Užsakovas</w:t>
      </w:r>
      <w:r>
        <w:rPr>
          <w:spacing w:val="-15"/>
        </w:rPr>
        <w:t xml:space="preserve"> </w:t>
      </w:r>
      <w:r>
        <w:rPr/>
        <w:t>pateikia</w:t>
      </w:r>
      <w:r>
        <w:rPr>
          <w:spacing w:val="-15"/>
        </w:rPr>
        <w:t xml:space="preserve"> </w:t>
      </w:r>
      <w:r>
        <w:rPr/>
        <w:t>paklausimą,</w:t>
      </w:r>
      <w:r>
        <w:rPr>
          <w:spacing w:val="-16"/>
        </w:rPr>
        <w:t xml:space="preserve"> </w:t>
      </w:r>
      <w:r>
        <w:rPr/>
        <w:t>Paslaugų</w:t>
      </w:r>
      <w:r>
        <w:rPr>
          <w:spacing w:val="-15"/>
        </w:rPr>
        <w:t xml:space="preserve"> </w:t>
      </w:r>
      <w:r>
        <w:rPr/>
        <w:t>teikėjas Konsultavimo paslaugas suteikia atitinkamai telefonu, el. paštu ar kita Paslaugų teikėjo pasiūlyta ir Užsakovui priimtina forma.</w:t>
      </w:r>
    </w:p>
    <w:p>
      <w:pPr>
        <w:pStyle w:val="ListParagraph"/>
        <w:numPr>
          <w:ilvl w:val="3"/>
          <w:numId w:val="2"/>
        </w:numPr>
        <w:tabs>
          <w:tab w:val="clear" w:pos="720"/>
          <w:tab w:val="left" w:pos="1260" w:leader="none"/>
          <w:tab w:val="left" w:pos="1853" w:leader="none"/>
        </w:tabs>
        <w:spacing w:lineRule="auto" w:line="264"/>
        <w:ind w:hanging="1080" w:left="1818" w:right="566"/>
        <w:jc w:val="both"/>
        <w:rPr/>
      </w:pPr>
      <w:r>
        <w:rPr/>
        <w:t>Užsakovas paskiria ne daugiau kaip 3 (tris) atsakingus asmenis, kurie turi teisę pateikti Paslaugų teikėjui paklausimus.</w:t>
      </w:r>
    </w:p>
    <w:p>
      <w:pPr>
        <w:pStyle w:val="ListParagraph"/>
        <w:numPr>
          <w:ilvl w:val="3"/>
          <w:numId w:val="2"/>
        </w:numPr>
        <w:tabs>
          <w:tab w:val="clear" w:pos="720"/>
          <w:tab w:val="left" w:pos="1260" w:leader="none"/>
          <w:tab w:val="left" w:pos="1853" w:leader="none"/>
        </w:tabs>
        <w:spacing w:lineRule="auto" w:line="264"/>
        <w:ind w:hanging="1080" w:left="1818" w:right="566"/>
        <w:jc w:val="both"/>
        <w:rPr/>
      </w:pPr>
      <w:r>
        <w:rPr/>
        <w:t>Konsultavimo paslaugos turi būti teikiamos realiu laiku. Jeigu Paslaugų teikėjas negali suteikti tinkamos konsultacijos iš karto, tai Paslaugų teikėjas turi pateikti atsakymus į neatsakytus paklausimus ne vėliau kaip per 8 (aštuonias) Užsakovo darbo valandas, skaičiuojant nuo Užsakovo paklausimo pateikimo. Šalių sutarimu šis terminas gali būti pratęstas protingam laikotarpiui.</w:t>
      </w:r>
    </w:p>
    <w:p>
      <w:pPr>
        <w:pStyle w:val="Heading2"/>
        <w:numPr>
          <w:ilvl w:val="1"/>
          <w:numId w:val="2"/>
        </w:numPr>
        <w:tabs>
          <w:tab w:val="clear" w:pos="720"/>
          <w:tab w:val="left" w:pos="1498" w:leader="none"/>
        </w:tabs>
        <w:ind w:hanging="547" w:left="630"/>
        <w:rPr>
          <w:b w:val="false"/>
          <w:bCs w:val="false"/>
        </w:rPr>
      </w:pPr>
      <w:r>
        <w:rPr>
          <w:b w:val="false"/>
          <w:bCs w:val="false"/>
        </w:rPr>
        <w:t>Sistemų vystymo paslaugos</w:t>
      </w:r>
      <w:r>
        <w:rPr>
          <w:b w:val="false"/>
          <w:bCs w:val="false"/>
          <w:spacing w:val="-2"/>
        </w:rPr>
        <w:t>:</w:t>
      </w:r>
    </w:p>
    <w:p>
      <w:pPr>
        <w:pStyle w:val="Heading2"/>
        <w:numPr>
          <w:ilvl w:val="2"/>
          <w:numId w:val="2"/>
        </w:numPr>
        <w:tabs>
          <w:tab w:val="clear" w:pos="720"/>
          <w:tab w:val="left" w:pos="1498" w:leader="none"/>
        </w:tabs>
        <w:ind w:hanging="180" w:left="720"/>
        <w:rPr>
          <w:b w:val="false"/>
          <w:bCs w:val="false"/>
        </w:rPr>
      </w:pPr>
      <w:r>
        <w:rPr>
          <w:b w:val="false"/>
          <w:bCs w:val="false"/>
          <w:spacing w:val="-2"/>
        </w:rPr>
        <w:t>Vystymo paslaugas sudaro:</w:t>
      </w:r>
    </w:p>
    <w:p>
      <w:pPr>
        <w:pStyle w:val="Heading2"/>
        <w:numPr>
          <w:ilvl w:val="3"/>
          <w:numId w:val="2"/>
        </w:numPr>
        <w:tabs>
          <w:tab w:val="clear" w:pos="720"/>
          <w:tab w:val="left" w:pos="1498" w:leader="none"/>
        </w:tabs>
        <w:rPr>
          <w:b w:val="false"/>
          <w:bCs w:val="false"/>
        </w:rPr>
      </w:pPr>
      <w:r>
        <w:rPr>
          <w:b w:val="false"/>
          <w:bCs w:val="false"/>
        </w:rPr>
        <w:t>Poreikių analizė ir vertinimas – naujų</w:t>
      </w:r>
      <w:r>
        <w:rPr>
          <w:b w:val="false"/>
          <w:bCs w:val="false"/>
          <w:spacing w:val="-5"/>
        </w:rPr>
        <w:t xml:space="preserve"> </w:t>
      </w:r>
      <w:r>
        <w:rPr>
          <w:b w:val="false"/>
          <w:bCs w:val="false"/>
        </w:rPr>
        <w:t>Užsakovo</w:t>
      </w:r>
      <w:r>
        <w:rPr>
          <w:b w:val="false"/>
          <w:bCs w:val="false"/>
          <w:spacing w:val="-5"/>
        </w:rPr>
        <w:t xml:space="preserve"> </w:t>
      </w:r>
      <w:r>
        <w:rPr>
          <w:b w:val="false"/>
          <w:bCs w:val="false"/>
        </w:rPr>
        <w:t>pateiktų</w:t>
      </w:r>
      <w:r>
        <w:rPr>
          <w:b w:val="false"/>
          <w:bCs w:val="false"/>
          <w:spacing w:val="-5"/>
        </w:rPr>
        <w:t xml:space="preserve"> </w:t>
      </w:r>
      <w:r>
        <w:rPr>
          <w:b w:val="false"/>
          <w:bCs w:val="false"/>
        </w:rPr>
        <w:t>Sistemų</w:t>
      </w:r>
      <w:r>
        <w:rPr>
          <w:b w:val="false"/>
          <w:bCs w:val="false"/>
          <w:spacing w:val="-3"/>
        </w:rPr>
        <w:t xml:space="preserve"> </w:t>
      </w:r>
      <w:r>
        <w:rPr>
          <w:b w:val="false"/>
          <w:bCs w:val="false"/>
        </w:rPr>
        <w:t>vystymo</w:t>
      </w:r>
      <w:r>
        <w:rPr>
          <w:b w:val="false"/>
          <w:bCs w:val="false"/>
          <w:spacing w:val="-5"/>
        </w:rPr>
        <w:t xml:space="preserve"> </w:t>
      </w:r>
      <w:r>
        <w:rPr>
          <w:b w:val="false"/>
          <w:bCs w:val="false"/>
        </w:rPr>
        <w:t>poreikių analizė ir vertinimas.</w:t>
      </w:r>
    </w:p>
    <w:p>
      <w:pPr>
        <w:pStyle w:val="Heading2"/>
        <w:numPr>
          <w:ilvl w:val="3"/>
          <w:numId w:val="2"/>
        </w:numPr>
        <w:tabs>
          <w:tab w:val="clear" w:pos="720"/>
          <w:tab w:val="left" w:pos="1498" w:leader="none"/>
        </w:tabs>
        <w:rPr>
          <w:b w:val="false"/>
          <w:bCs w:val="false"/>
        </w:rPr>
      </w:pPr>
      <w:r>
        <w:rPr>
          <w:b w:val="false"/>
          <w:bCs w:val="false"/>
        </w:rPr>
        <w:t>Projektavimo, programavimo ir konfigūravimo</w:t>
      </w:r>
      <w:r>
        <w:rPr>
          <w:b w:val="false"/>
          <w:bCs w:val="false"/>
          <w:spacing w:val="40"/>
        </w:rPr>
        <w:t xml:space="preserve"> </w:t>
      </w:r>
      <w:r>
        <w:rPr>
          <w:b w:val="false"/>
          <w:bCs w:val="false"/>
        </w:rPr>
        <w:t xml:space="preserve">paslaugos – Sistemų pakeitimų kūrimo ir konfigūravimo paslaugos, reikalingos sudėtingos problemos / sutrikimo pašalinimui, atlikus išsamią problemos analizę. </w:t>
      </w:r>
    </w:p>
    <w:p>
      <w:pPr>
        <w:pStyle w:val="Heading2"/>
        <w:numPr>
          <w:ilvl w:val="3"/>
          <w:numId w:val="2"/>
        </w:numPr>
        <w:tabs>
          <w:tab w:val="clear" w:pos="720"/>
          <w:tab w:val="left" w:pos="1498" w:leader="none"/>
        </w:tabs>
        <w:rPr>
          <w:b w:val="false"/>
          <w:bCs w:val="false"/>
        </w:rPr>
      </w:pPr>
      <w:r>
        <w:rPr>
          <w:b w:val="false"/>
          <w:bCs w:val="false"/>
        </w:rPr>
        <w:t>Išsami problemų analizė – Paslaugų teikėjo teikiamos paslaugos, kai prižiūrimos Sistemų problemos / sutrikimo negalima išspręsti be detalios, Sistemos konfigūracijos, programinio kodo ir duomenų analizės.</w:t>
      </w:r>
    </w:p>
    <w:p>
      <w:pPr>
        <w:pStyle w:val="Heading2"/>
        <w:numPr>
          <w:ilvl w:val="3"/>
          <w:numId w:val="2"/>
        </w:numPr>
        <w:tabs>
          <w:tab w:val="clear" w:pos="720"/>
          <w:tab w:val="left" w:pos="1498" w:leader="none"/>
        </w:tabs>
        <w:rPr>
          <w:b w:val="false"/>
          <w:bCs w:val="false"/>
        </w:rPr>
      </w:pPr>
      <w:r>
        <w:rPr>
          <w:b w:val="false"/>
          <w:bCs w:val="false"/>
        </w:rPr>
        <w:t>Duomenų tvarkymas – didelės apimties duomenų tvarkymo paslaugos, kurioms reikalingas programinio kodo sukūrimas ir kurios reikalingos sudėtingos problemos / sutrikimo pašalinimui, atlikus išsamią problemos analizę, arba, kai darbų poreikis buvo sąlygotas Sistemų naudotojų klaidų.</w:t>
      </w:r>
    </w:p>
    <w:p>
      <w:pPr>
        <w:pStyle w:val="Heading2"/>
        <w:numPr>
          <w:ilvl w:val="3"/>
          <w:numId w:val="2"/>
        </w:numPr>
        <w:tabs>
          <w:tab w:val="clear" w:pos="720"/>
          <w:tab w:val="left" w:pos="1498" w:leader="none"/>
        </w:tabs>
        <w:rPr>
          <w:b w:val="false"/>
          <w:bCs w:val="false"/>
        </w:rPr>
      </w:pPr>
      <w:r>
        <w:rPr>
          <w:b w:val="false"/>
          <w:bCs w:val="false"/>
        </w:rPr>
        <w:t>Diegimo paslaugos – Vystymo paslaugų užsakymo akto apimtyje modifikuotos Sistemų programinės įrangos ir jos pakeitimų (atnaujinimų) diegimas testavimo ir, esant poreikiui, gamybinėje aplinkose.</w:t>
      </w:r>
    </w:p>
    <w:p>
      <w:pPr>
        <w:pStyle w:val="Heading2"/>
        <w:numPr>
          <w:ilvl w:val="3"/>
          <w:numId w:val="2"/>
        </w:numPr>
        <w:tabs>
          <w:tab w:val="clear" w:pos="720"/>
          <w:tab w:val="left" w:pos="1498" w:leader="none"/>
        </w:tabs>
        <w:rPr>
          <w:b w:val="false"/>
          <w:bCs w:val="false"/>
        </w:rPr>
      </w:pPr>
      <w:r>
        <w:rPr>
          <w:b w:val="false"/>
          <w:bCs w:val="false"/>
        </w:rPr>
        <w:t>Mokymai – Sistemų naudotojų ir administratorių mokymai darbo vietoje arba per nuotolinio ryšio priemones.</w:t>
      </w:r>
    </w:p>
    <w:p>
      <w:pPr>
        <w:pStyle w:val="Heading2"/>
        <w:numPr>
          <w:ilvl w:val="3"/>
          <w:numId w:val="2"/>
        </w:numPr>
        <w:tabs>
          <w:tab w:val="clear" w:pos="720"/>
          <w:tab w:val="left" w:pos="1498" w:leader="none"/>
        </w:tabs>
        <w:rPr>
          <w:b w:val="false"/>
          <w:bCs w:val="false"/>
        </w:rPr>
      </w:pPr>
      <w:r>
        <w:rPr>
          <w:b w:val="false"/>
          <w:bCs w:val="false"/>
        </w:rPr>
        <w:t>Konsultacijos - Užsakovo atstovų konsultavimas visais su Sistemų vystymo ir jų veikimu susijusiais klausimais.</w:t>
      </w:r>
    </w:p>
    <w:p>
      <w:pPr>
        <w:pStyle w:val="ListParagraph"/>
        <w:numPr>
          <w:ilvl w:val="2"/>
          <w:numId w:val="2"/>
        </w:numPr>
        <w:tabs>
          <w:tab w:val="clear" w:pos="720"/>
          <w:tab w:val="left" w:pos="709" w:leader="none"/>
          <w:tab w:val="left" w:pos="1675" w:leader="none"/>
        </w:tabs>
        <w:spacing w:lineRule="auto" w:line="259"/>
        <w:ind w:hanging="720" w:left="1212" w:right="566"/>
        <w:jc w:val="both"/>
        <w:rPr/>
      </w:pPr>
      <w:r>
        <w:rPr/>
        <w:t>Sistemų vystymo paslaugų suteikimo patvirtinimas:</w:t>
      </w:r>
    </w:p>
    <w:p>
      <w:pPr>
        <w:pStyle w:val="ListParagraph"/>
        <w:numPr>
          <w:ilvl w:val="3"/>
          <w:numId w:val="2"/>
        </w:numPr>
        <w:tabs>
          <w:tab w:val="clear" w:pos="720"/>
          <w:tab w:val="left" w:pos="709" w:leader="none"/>
          <w:tab w:val="left" w:pos="1675" w:leader="none"/>
        </w:tabs>
        <w:spacing w:lineRule="auto" w:line="259"/>
        <w:ind w:hanging="1080" w:left="1818" w:right="566"/>
        <w:jc w:val="both"/>
        <w:rPr/>
      </w:pPr>
      <w:r>
        <w:rPr/>
        <w:t>Sistemų vystymo paslaugos laikomos suteiktomis, kai Paslaugų teikėjas ir Užsakovas pasirašo priėmimo–perdavimo aktą.</w:t>
      </w:r>
    </w:p>
    <w:p>
      <w:pPr>
        <w:pStyle w:val="ListParagraph"/>
        <w:numPr>
          <w:ilvl w:val="2"/>
          <w:numId w:val="2"/>
        </w:numPr>
        <w:tabs>
          <w:tab w:val="clear" w:pos="720"/>
          <w:tab w:val="left" w:pos="709" w:leader="none"/>
          <w:tab w:val="left" w:pos="1675" w:leader="none"/>
        </w:tabs>
        <w:spacing w:lineRule="auto" w:line="259"/>
        <w:ind w:hanging="720" w:left="1212" w:right="566"/>
        <w:jc w:val="both"/>
        <w:rPr/>
      </w:pPr>
      <w:r>
        <w:rPr/>
        <w:t>Reikalavimai Sistemų vystymo paslaugoms suteikiamai garantijai:</w:t>
      </w:r>
    </w:p>
    <w:p>
      <w:pPr>
        <w:pStyle w:val="ListParagraph"/>
        <w:numPr>
          <w:ilvl w:val="3"/>
          <w:numId w:val="2"/>
        </w:numPr>
        <w:tabs>
          <w:tab w:val="clear" w:pos="720"/>
          <w:tab w:val="left" w:pos="709" w:leader="none"/>
          <w:tab w:val="left" w:pos="1675" w:leader="none"/>
        </w:tabs>
        <w:spacing w:lineRule="auto" w:line="259"/>
        <w:ind w:hanging="1080" w:left="1818" w:right="566"/>
        <w:jc w:val="both"/>
        <w:rPr/>
      </w:pPr>
      <w:r>
        <w:rPr/>
        <w:t>12 (dvylikos) mėnesių garantija turi būti suteikiama toms Sistemų vystymo paslaugoms, kurios buvo sudiegtos į gamybinę Užsakovo aplinką sutarties vykdymo laikotarpiu pagal Užsakovo pateiktus papildomus užsakymus.</w:t>
      </w:r>
    </w:p>
    <w:p>
      <w:pPr>
        <w:pStyle w:val="ListParagraph"/>
        <w:numPr>
          <w:ilvl w:val="3"/>
          <w:numId w:val="2"/>
        </w:numPr>
        <w:tabs>
          <w:tab w:val="clear" w:pos="720"/>
          <w:tab w:val="left" w:pos="709" w:leader="none"/>
          <w:tab w:val="left" w:pos="1675" w:leader="none"/>
        </w:tabs>
        <w:spacing w:lineRule="auto" w:line="259"/>
        <w:ind w:hanging="1080" w:left="1818" w:right="566"/>
        <w:jc w:val="both"/>
        <w:rPr/>
      </w:pPr>
      <w:r>
        <w:rPr/>
        <w:t>12 (dvylikos) mėnesių garantinis laikotarpis, pradedamas skaičiuoti nuo darbų priėmimo - perdavimo akto pasirašymo.</w:t>
      </w:r>
    </w:p>
    <w:p>
      <w:pPr>
        <w:pStyle w:val="ListParagraph"/>
        <w:numPr>
          <w:ilvl w:val="3"/>
          <w:numId w:val="2"/>
        </w:numPr>
        <w:tabs>
          <w:tab w:val="clear" w:pos="720"/>
          <w:tab w:val="left" w:pos="709" w:leader="none"/>
          <w:tab w:val="left" w:pos="1675" w:leader="none"/>
        </w:tabs>
        <w:spacing w:lineRule="auto" w:line="259"/>
        <w:ind w:hanging="1080" w:left="1818" w:right="566"/>
        <w:jc w:val="both"/>
        <w:rPr/>
      </w:pPr>
      <w:r>
        <w:rPr/>
        <w:t>Garantiniu</w:t>
      </w:r>
      <w:r>
        <w:rPr>
          <w:spacing w:val="-8"/>
        </w:rPr>
        <w:t xml:space="preserve"> </w:t>
      </w:r>
      <w:r>
        <w:rPr/>
        <w:t>laikotarpiu</w:t>
      </w:r>
      <w:r>
        <w:rPr>
          <w:spacing w:val="-8"/>
        </w:rPr>
        <w:t xml:space="preserve"> </w:t>
      </w:r>
      <w:r>
        <w:rPr/>
        <w:t>aptiktus Sistemų vystymo</w:t>
      </w:r>
      <w:r>
        <w:rPr>
          <w:spacing w:val="-8"/>
        </w:rPr>
        <w:t xml:space="preserve"> </w:t>
      </w:r>
      <w:r>
        <w:rPr/>
        <w:t>paslaugų defektus paslaugų teikėjas šalina nemokamai.</w:t>
      </w:r>
    </w:p>
    <w:p>
      <w:pPr>
        <w:pStyle w:val="Heading2"/>
        <w:numPr>
          <w:ilvl w:val="2"/>
          <w:numId w:val="2"/>
        </w:numPr>
        <w:tabs>
          <w:tab w:val="clear" w:pos="720"/>
          <w:tab w:val="left" w:pos="1260" w:leader="none"/>
          <w:tab w:val="left" w:pos="1551" w:leader="none"/>
        </w:tabs>
        <w:ind w:hanging="720" w:left="1212" w:right="564"/>
        <w:jc w:val="both"/>
        <w:rPr>
          <w:b w:val="false"/>
          <w:bCs w:val="false"/>
        </w:rPr>
      </w:pPr>
      <w:r>
        <w:rPr>
          <w:b w:val="false"/>
          <w:bCs w:val="false"/>
        </w:rPr>
        <w:t xml:space="preserve">Sistemų vystymo paslaugų teikimo metu pateikiama </w:t>
      </w:r>
      <w:r>
        <w:rPr>
          <w:b w:val="false"/>
          <w:bCs w:val="false"/>
          <w:spacing w:val="-2"/>
        </w:rPr>
        <w:t>dokumentacija:</w:t>
      </w:r>
    </w:p>
    <w:p>
      <w:pPr>
        <w:pStyle w:val="ListParagraph"/>
        <w:numPr>
          <w:ilvl w:val="3"/>
          <w:numId w:val="2"/>
        </w:numPr>
        <w:tabs>
          <w:tab w:val="clear" w:pos="720"/>
          <w:tab w:val="left" w:pos="1620" w:leader="none"/>
          <w:tab w:val="left" w:pos="1844" w:leader="none"/>
        </w:tabs>
        <w:spacing w:before="103" w:after="0"/>
        <w:ind w:hanging="1080" w:left="1818" w:right="567"/>
        <w:jc w:val="both"/>
        <w:rPr/>
      </w:pPr>
      <w:r>
        <w:rPr/>
        <w:t>Paslaugų</w:t>
      </w:r>
      <w:r>
        <w:rPr>
          <w:spacing w:val="-1"/>
        </w:rPr>
        <w:t xml:space="preserve"> </w:t>
      </w:r>
      <w:r>
        <w:rPr/>
        <w:t>teikėjas</w:t>
      </w:r>
      <w:r>
        <w:rPr>
          <w:spacing w:val="-1"/>
        </w:rPr>
        <w:t xml:space="preserve"> </w:t>
      </w:r>
      <w:r>
        <w:rPr/>
        <w:t>privalo</w:t>
      </w:r>
      <w:r>
        <w:rPr>
          <w:spacing w:val="-1"/>
        </w:rPr>
        <w:t xml:space="preserve"> </w:t>
      </w:r>
      <w:r>
        <w:rPr/>
        <w:t>pateikti Sistemų vystymo</w:t>
      </w:r>
      <w:r>
        <w:rPr>
          <w:spacing w:val="-1"/>
        </w:rPr>
        <w:t xml:space="preserve"> </w:t>
      </w:r>
      <w:r>
        <w:rPr/>
        <w:t>paslaugų</w:t>
      </w:r>
      <w:r>
        <w:rPr>
          <w:spacing w:val="-1"/>
        </w:rPr>
        <w:t xml:space="preserve"> </w:t>
      </w:r>
      <w:r>
        <w:rPr/>
        <w:t>rezultato</w:t>
      </w:r>
      <w:r>
        <w:rPr>
          <w:spacing w:val="-2"/>
        </w:rPr>
        <w:t xml:space="preserve"> </w:t>
      </w:r>
      <w:r>
        <w:rPr/>
        <w:t>testavimo</w:t>
      </w:r>
      <w:r>
        <w:rPr>
          <w:spacing w:val="-1"/>
        </w:rPr>
        <w:t xml:space="preserve"> </w:t>
      </w:r>
      <w:r>
        <w:rPr/>
        <w:t>ataskaitą pagal su Užsakovo suderintą formą, kurioje turi būti nurodyta:</w:t>
      </w:r>
    </w:p>
    <w:p>
      <w:pPr>
        <w:pStyle w:val="ListParagraph"/>
        <w:numPr>
          <w:ilvl w:val="4"/>
          <w:numId w:val="2"/>
        </w:numPr>
        <w:tabs>
          <w:tab w:val="clear" w:pos="720"/>
          <w:tab w:val="left" w:pos="1620" w:leader="none"/>
          <w:tab w:val="left" w:pos="1844" w:leader="none"/>
        </w:tabs>
        <w:spacing w:before="103" w:after="0"/>
        <w:ind w:hanging="1080" w:left="2064" w:right="567"/>
        <w:jc w:val="both"/>
        <w:rPr/>
      </w:pPr>
      <w:r>
        <w:rPr/>
        <w:t xml:space="preserve">testuojamas objektas (pagal Reikalavimus); </w:t>
      </w:r>
    </w:p>
    <w:p>
      <w:pPr>
        <w:pStyle w:val="ListParagraph"/>
        <w:numPr>
          <w:ilvl w:val="4"/>
          <w:numId w:val="2"/>
        </w:numPr>
        <w:tabs>
          <w:tab w:val="clear" w:pos="720"/>
          <w:tab w:val="left" w:pos="1620" w:leader="none"/>
          <w:tab w:val="left" w:pos="1844" w:leader="none"/>
        </w:tabs>
        <w:spacing w:before="103" w:after="0"/>
        <w:ind w:hanging="1080" w:left="2064" w:right="567"/>
        <w:jc w:val="both"/>
        <w:rPr/>
      </w:pPr>
      <w:r>
        <w:rPr/>
        <w:t>atlikti</w:t>
      </w:r>
      <w:r>
        <w:rPr>
          <w:spacing w:val="-6"/>
        </w:rPr>
        <w:t xml:space="preserve"> </w:t>
      </w:r>
      <w:r>
        <w:rPr/>
        <w:t>veiksmai</w:t>
      </w:r>
      <w:r>
        <w:rPr>
          <w:spacing w:val="-7"/>
        </w:rPr>
        <w:t xml:space="preserve"> </w:t>
      </w:r>
      <w:r>
        <w:rPr/>
        <w:t>ir</w:t>
      </w:r>
      <w:r>
        <w:rPr>
          <w:spacing w:val="-5"/>
        </w:rPr>
        <w:t xml:space="preserve"> </w:t>
      </w:r>
      <w:r>
        <w:rPr/>
        <w:t>pateikti</w:t>
      </w:r>
      <w:r>
        <w:rPr>
          <w:spacing w:val="-8"/>
        </w:rPr>
        <w:t xml:space="preserve"> </w:t>
      </w:r>
      <w:r>
        <w:rPr/>
        <w:t>testuojami</w:t>
      </w:r>
      <w:r>
        <w:rPr>
          <w:spacing w:val="-8"/>
        </w:rPr>
        <w:t xml:space="preserve"> </w:t>
      </w:r>
      <w:r>
        <w:rPr/>
        <w:t xml:space="preserve">duomenys; </w:t>
      </w:r>
    </w:p>
    <w:p>
      <w:pPr>
        <w:pStyle w:val="ListParagraph"/>
        <w:numPr>
          <w:ilvl w:val="4"/>
          <w:numId w:val="2"/>
        </w:numPr>
        <w:tabs>
          <w:tab w:val="clear" w:pos="720"/>
          <w:tab w:val="left" w:pos="1620" w:leader="none"/>
          <w:tab w:val="left" w:pos="1844" w:leader="none"/>
        </w:tabs>
        <w:spacing w:before="103" w:after="0"/>
        <w:ind w:hanging="1080" w:left="2064" w:right="567"/>
        <w:jc w:val="both"/>
        <w:rPr/>
      </w:pPr>
      <w:r>
        <w:rPr/>
        <w:t>laukiamas rezultatas;</w:t>
      </w:r>
    </w:p>
    <w:p>
      <w:pPr>
        <w:pStyle w:val="ListParagraph"/>
        <w:numPr>
          <w:ilvl w:val="4"/>
          <w:numId w:val="2"/>
        </w:numPr>
        <w:tabs>
          <w:tab w:val="clear" w:pos="720"/>
          <w:tab w:val="left" w:pos="1620" w:leader="none"/>
          <w:tab w:val="left" w:pos="1844" w:leader="none"/>
        </w:tabs>
        <w:spacing w:before="103" w:after="0"/>
        <w:ind w:hanging="1080" w:left="2064" w:right="567"/>
        <w:jc w:val="both"/>
        <w:rPr/>
      </w:pPr>
      <w:r>
        <w:rPr/>
        <w:t xml:space="preserve">gautas rezultatas; </w:t>
      </w:r>
    </w:p>
    <w:p>
      <w:pPr>
        <w:pStyle w:val="ListParagraph"/>
        <w:numPr>
          <w:ilvl w:val="4"/>
          <w:numId w:val="2"/>
        </w:numPr>
        <w:tabs>
          <w:tab w:val="clear" w:pos="720"/>
          <w:tab w:val="left" w:pos="1620" w:leader="none"/>
          <w:tab w:val="left" w:pos="1844" w:leader="none"/>
        </w:tabs>
        <w:spacing w:before="103" w:after="0"/>
        <w:ind w:hanging="1080" w:left="2064" w:right="567"/>
        <w:jc w:val="both"/>
        <w:rPr/>
      </w:pPr>
      <w:r>
        <w:rPr/>
        <w:t>išvados</w:t>
      </w:r>
      <w:r>
        <w:rPr>
          <w:spacing w:val="-11"/>
        </w:rPr>
        <w:t xml:space="preserve"> </w:t>
      </w:r>
      <w:r>
        <w:rPr/>
        <w:t>ir</w:t>
      </w:r>
      <w:r>
        <w:rPr>
          <w:spacing w:val="-13"/>
        </w:rPr>
        <w:t xml:space="preserve"> </w:t>
      </w:r>
      <w:r>
        <w:rPr/>
        <w:t>rekomendacijos.</w:t>
      </w:r>
    </w:p>
    <w:p>
      <w:pPr>
        <w:pStyle w:val="Heading2"/>
        <w:numPr>
          <w:ilvl w:val="3"/>
          <w:numId w:val="2"/>
        </w:numPr>
        <w:tabs>
          <w:tab w:val="clear" w:pos="720"/>
          <w:tab w:val="left" w:pos="1260" w:leader="none"/>
          <w:tab w:val="left" w:pos="1440" w:leader="none"/>
          <w:tab w:val="left" w:pos="1806" w:leader="none"/>
        </w:tabs>
        <w:spacing w:before="69" w:after="0"/>
        <w:ind w:hanging="1080" w:left="1818" w:right="551"/>
        <w:jc w:val="both"/>
        <w:rPr>
          <w:b w:val="false"/>
          <w:bCs w:val="false"/>
        </w:rPr>
      </w:pPr>
      <w:r>
        <w:rPr>
          <w:b w:val="false"/>
          <w:bCs w:val="false"/>
        </w:rPr>
        <w:t>Kartu</w:t>
      </w:r>
      <w:r>
        <w:rPr>
          <w:b w:val="false"/>
          <w:bCs w:val="false"/>
          <w:spacing w:val="27"/>
        </w:rPr>
        <w:t xml:space="preserve"> </w:t>
      </w:r>
      <w:r>
        <w:rPr>
          <w:b w:val="false"/>
          <w:bCs w:val="false"/>
        </w:rPr>
        <w:t>su</w:t>
      </w:r>
      <w:r>
        <w:rPr>
          <w:b w:val="false"/>
          <w:bCs w:val="false"/>
          <w:spacing w:val="27"/>
        </w:rPr>
        <w:t xml:space="preserve"> </w:t>
      </w:r>
      <w:r>
        <w:rPr>
          <w:b w:val="false"/>
          <w:bCs w:val="false"/>
        </w:rPr>
        <w:t>Vystymo</w:t>
      </w:r>
      <w:r>
        <w:rPr>
          <w:b w:val="false"/>
          <w:bCs w:val="false"/>
          <w:spacing w:val="28"/>
        </w:rPr>
        <w:t xml:space="preserve"> </w:t>
      </w:r>
      <w:r>
        <w:rPr>
          <w:b w:val="false"/>
          <w:bCs w:val="false"/>
        </w:rPr>
        <w:t>paslaugų</w:t>
      </w:r>
      <w:r>
        <w:rPr>
          <w:b w:val="false"/>
          <w:bCs w:val="false"/>
          <w:spacing w:val="27"/>
        </w:rPr>
        <w:t xml:space="preserve"> </w:t>
      </w:r>
      <w:r>
        <w:rPr>
          <w:b w:val="false"/>
          <w:bCs w:val="false"/>
        </w:rPr>
        <w:t>perdavimo</w:t>
      </w:r>
      <w:r>
        <w:rPr>
          <w:b w:val="false"/>
          <w:bCs w:val="false"/>
          <w:spacing w:val="30"/>
        </w:rPr>
        <w:t xml:space="preserve"> </w:t>
      </w:r>
      <w:r>
        <w:rPr>
          <w:b w:val="false"/>
          <w:bCs w:val="false"/>
        </w:rPr>
        <w:t>–</w:t>
      </w:r>
      <w:r>
        <w:rPr>
          <w:b w:val="false"/>
          <w:bCs w:val="false"/>
          <w:spacing w:val="29"/>
        </w:rPr>
        <w:t xml:space="preserve"> </w:t>
      </w:r>
      <w:r>
        <w:rPr>
          <w:b w:val="false"/>
          <w:bCs w:val="false"/>
        </w:rPr>
        <w:t>priėmimo</w:t>
      </w:r>
      <w:r>
        <w:rPr>
          <w:b w:val="false"/>
          <w:bCs w:val="false"/>
          <w:spacing w:val="28"/>
        </w:rPr>
        <w:t xml:space="preserve"> </w:t>
      </w:r>
      <w:r>
        <w:rPr>
          <w:b w:val="false"/>
          <w:bCs w:val="false"/>
        </w:rPr>
        <w:t>aktu</w:t>
      </w:r>
      <w:r>
        <w:rPr>
          <w:b w:val="false"/>
          <w:bCs w:val="false"/>
          <w:spacing w:val="25"/>
        </w:rPr>
        <w:t xml:space="preserve"> </w:t>
      </w:r>
      <w:r>
        <w:rPr>
          <w:b w:val="false"/>
          <w:bCs w:val="false"/>
        </w:rPr>
        <w:t>Paslaugų</w:t>
      </w:r>
      <w:r>
        <w:rPr>
          <w:b w:val="false"/>
          <w:bCs w:val="false"/>
          <w:spacing w:val="28"/>
        </w:rPr>
        <w:t xml:space="preserve"> </w:t>
      </w:r>
      <w:r>
        <w:rPr>
          <w:b w:val="false"/>
          <w:bCs w:val="false"/>
          <w:spacing w:val="-2"/>
        </w:rPr>
        <w:t xml:space="preserve">teikėjas </w:t>
      </w:r>
      <w:r>
        <w:rPr>
          <w:b w:val="false"/>
          <w:bCs w:val="false"/>
        </w:rPr>
        <w:t>privalo</w:t>
      </w:r>
      <w:r>
        <w:rPr>
          <w:b w:val="false"/>
          <w:bCs w:val="false"/>
          <w:spacing w:val="-6"/>
        </w:rPr>
        <w:t xml:space="preserve"> </w:t>
      </w:r>
      <w:r>
        <w:rPr>
          <w:b w:val="false"/>
          <w:bCs w:val="false"/>
        </w:rPr>
        <w:t>pateikti</w:t>
      </w:r>
      <w:r>
        <w:rPr>
          <w:b w:val="false"/>
          <w:bCs w:val="false"/>
          <w:spacing w:val="-5"/>
        </w:rPr>
        <w:t xml:space="preserve"> </w:t>
      </w:r>
      <w:r>
        <w:rPr>
          <w:b w:val="false"/>
          <w:bCs w:val="false"/>
        </w:rPr>
        <w:t>pilną</w:t>
      </w:r>
      <w:r>
        <w:rPr>
          <w:b w:val="false"/>
          <w:bCs w:val="false"/>
          <w:spacing w:val="-4"/>
        </w:rPr>
        <w:t xml:space="preserve"> </w:t>
      </w:r>
      <w:r>
        <w:rPr>
          <w:b w:val="false"/>
          <w:bCs w:val="false"/>
          <w:spacing w:val="-2"/>
        </w:rPr>
        <w:t>dokumentaciją:</w:t>
      </w:r>
    </w:p>
    <w:p>
      <w:pPr>
        <w:pStyle w:val="ListParagraph"/>
        <w:numPr>
          <w:ilvl w:val="4"/>
          <w:numId w:val="2"/>
        </w:numPr>
        <w:tabs>
          <w:tab w:val="clear" w:pos="720"/>
          <w:tab w:val="left" w:pos="630" w:leader="none"/>
          <w:tab w:val="left" w:pos="1620" w:leader="none"/>
        </w:tabs>
        <w:spacing w:before="86" w:after="0"/>
        <w:ind w:hanging="1080" w:left="2064" w:right="4489"/>
        <w:rPr/>
      </w:pPr>
      <w:r>
        <w:rPr/>
        <w:t>pakeitimų techninę specifikaciją;</w:t>
      </w:r>
    </w:p>
    <w:p>
      <w:pPr>
        <w:pStyle w:val="ListParagraph"/>
        <w:numPr>
          <w:ilvl w:val="4"/>
          <w:numId w:val="2"/>
        </w:numPr>
        <w:tabs>
          <w:tab w:val="clear" w:pos="720"/>
          <w:tab w:val="left" w:pos="630" w:leader="none"/>
          <w:tab w:val="left" w:pos="1620" w:leader="none"/>
        </w:tabs>
        <w:spacing w:before="86" w:after="0"/>
        <w:ind w:hanging="1080" w:left="2064" w:right="4489"/>
        <w:rPr/>
      </w:pPr>
      <w:r>
        <w:rPr/>
        <w:t>diegimo / konfigūravimo instrukcijas;</w:t>
      </w:r>
    </w:p>
    <w:p>
      <w:pPr>
        <w:pStyle w:val="ListParagraph"/>
        <w:widowControl/>
        <w:numPr>
          <w:ilvl w:val="2"/>
          <w:numId w:val="2"/>
        </w:numPr>
        <w:tabs>
          <w:tab w:val="clear" w:pos="720"/>
          <w:tab w:val="left" w:pos="1260" w:leader="none"/>
        </w:tabs>
        <w:spacing w:before="0" w:after="5"/>
        <w:contextualSpacing/>
        <w:jc w:val="both"/>
        <w:rPr/>
      </w:pPr>
      <w:r>
        <w:rPr/>
        <w:t>Vystymo paslaugų reakcijos ir sprendimo laikų terminai:</w:t>
      </w:r>
    </w:p>
    <w:p>
      <w:pPr>
        <w:pStyle w:val="ListParagraph"/>
        <w:widowControl/>
        <w:spacing w:lineRule="auto" w:line="276" w:before="0" w:after="5"/>
        <w:ind w:hanging="0" w:left="759" w:right="692"/>
        <w:contextualSpacing/>
        <w:jc w:val="right"/>
        <w:rPr/>
      </w:pPr>
      <w:r>
        <w:rPr/>
        <w:t>2 lentelė</w:t>
      </w:r>
    </w:p>
    <w:tbl>
      <w:tblPr>
        <w:tblStyle w:val="TableGrid"/>
        <w:tblW w:w="9075" w:type="dxa"/>
        <w:jc w:val="left"/>
        <w:tblInd w:w="418" w:type="dxa"/>
        <w:tblLayout w:type="fixed"/>
        <w:tblCellMar>
          <w:top w:w="63" w:type="dxa"/>
          <w:left w:w="107" w:type="dxa"/>
          <w:bottom w:w="0" w:type="dxa"/>
          <w:right w:w="66" w:type="dxa"/>
        </w:tblCellMar>
        <w:tblLook w:firstRow="1" w:noVBand="1" w:lastRow="0" w:firstColumn="1" w:lastColumn="0" w:noHBand="0" w:val="04a0"/>
      </w:tblPr>
      <w:tblGrid>
        <w:gridCol w:w="3688"/>
        <w:gridCol w:w="2551"/>
        <w:gridCol w:w="2836"/>
      </w:tblGrid>
      <w:tr>
        <w:trPr>
          <w:trHeight w:val="499" w:hRule="atLeast"/>
        </w:trPr>
        <w:tc>
          <w:tcPr>
            <w:tcW w:w="3688"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76" w:before="0" w:after="0"/>
              <w:ind w:left="432"/>
              <w:jc w:val="center"/>
              <w:rPr>
                <w:kern w:val="0"/>
                <w:sz w:val="24"/>
                <w:szCs w:val="24"/>
                <w:lang w:eastAsia="lt-LT" w:bidi="ar-SA"/>
              </w:rPr>
            </w:pPr>
            <w:r>
              <w:rPr>
                <w:b/>
                <w:kern w:val="2"/>
                <w:sz w:val="24"/>
                <w:szCs w:val="24"/>
                <w:lang w:eastAsia="lt-LT" w:bidi="ar-SA"/>
              </w:rPr>
              <w:t>Tipas</w:t>
            </w:r>
          </w:p>
        </w:tc>
        <w:tc>
          <w:tcPr>
            <w:tcW w:w="2551"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76" w:before="0" w:after="0"/>
              <w:jc w:val="left"/>
              <w:rPr>
                <w:kern w:val="0"/>
                <w:sz w:val="24"/>
                <w:szCs w:val="24"/>
                <w:lang w:eastAsia="lt-LT" w:bidi="ar-SA"/>
              </w:rPr>
            </w:pPr>
            <w:r>
              <w:rPr>
                <w:b/>
                <w:kern w:val="2"/>
                <w:sz w:val="24"/>
                <w:szCs w:val="24"/>
                <w:lang w:eastAsia="lt-LT" w:bidi="ar-SA"/>
              </w:rPr>
              <w:t>Reakcijos* laikas</w:t>
            </w:r>
          </w:p>
        </w:tc>
        <w:tc>
          <w:tcPr>
            <w:tcW w:w="2836"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76" w:before="0" w:after="0"/>
              <w:ind w:left="99"/>
              <w:jc w:val="center"/>
              <w:rPr>
                <w:b/>
              </w:rPr>
            </w:pPr>
            <w:r>
              <w:rPr>
                <w:b/>
                <w:kern w:val="2"/>
                <w:sz w:val="24"/>
                <w:szCs w:val="24"/>
                <w:lang w:eastAsia="lt-LT" w:bidi="ar-SA"/>
              </w:rPr>
              <w:t>Įvertinimo laikas</w:t>
            </w:r>
          </w:p>
        </w:tc>
      </w:tr>
      <w:tr>
        <w:trPr>
          <w:trHeight w:val="1002" w:hRule="atLeast"/>
        </w:trPr>
        <w:tc>
          <w:tcPr>
            <w:tcW w:w="3688" w:type="dxa"/>
            <w:tcBorders>
              <w:top w:val="single" w:sz="4" w:space="0" w:color="000000"/>
              <w:left w:val="single" w:sz="4" w:space="0" w:color="000000"/>
              <w:bottom w:val="single" w:sz="4" w:space="0" w:color="000000"/>
              <w:right w:val="single" w:sz="6" w:space="0" w:color="000000"/>
            </w:tcBorders>
          </w:tcPr>
          <w:p>
            <w:pPr>
              <w:pStyle w:val="Normal"/>
              <w:widowControl/>
              <w:suppressAutoHyphens w:val="true"/>
              <w:spacing w:lineRule="auto" w:line="276" w:before="0" w:after="0"/>
              <w:ind w:right="15"/>
              <w:jc w:val="left"/>
              <w:rPr>
                <w:kern w:val="0"/>
                <w:sz w:val="24"/>
                <w:szCs w:val="24"/>
                <w:lang w:eastAsia="lt-LT" w:bidi="ar-SA"/>
              </w:rPr>
            </w:pPr>
            <w:r>
              <w:rPr>
                <w:kern w:val="2"/>
                <w:sz w:val="24"/>
                <w:szCs w:val="24"/>
                <w:lang w:eastAsia="lt-LT" w:bidi="ar-SA"/>
              </w:rPr>
              <w:t>Vystymo paslaugos:</w:t>
            </w:r>
          </w:p>
          <w:p>
            <w:pPr>
              <w:pStyle w:val="Normal"/>
              <w:widowControl/>
              <w:suppressAutoHyphens w:val="true"/>
              <w:spacing w:lineRule="auto" w:line="276" w:before="0" w:after="0"/>
              <w:ind w:right="15"/>
              <w:contextualSpacing/>
              <w:jc w:val="left"/>
              <w:rPr>
                <w:kern w:val="0"/>
                <w:sz w:val="24"/>
                <w:szCs w:val="24"/>
                <w:lang w:eastAsia="lt-LT" w:bidi="ar-SA"/>
              </w:rPr>
            </w:pPr>
            <w:r>
              <w:rPr>
                <w:kern w:val="2"/>
                <w:sz w:val="24"/>
                <w:szCs w:val="24"/>
                <w:lang w:eastAsia="lt-LT" w:bidi="ar-SA"/>
              </w:rPr>
              <w:t>Kai darbų apimtis ne didesne kaip 40 val .</w:t>
            </w:r>
          </w:p>
        </w:tc>
        <w:tc>
          <w:tcPr>
            <w:tcW w:w="2551" w:type="dxa"/>
            <w:tcBorders>
              <w:top w:val="single" w:sz="6" w:space="0" w:color="000000"/>
              <w:left w:val="single" w:sz="6" w:space="0" w:color="000000"/>
              <w:bottom w:val="single" w:sz="6" w:space="0" w:color="000000"/>
              <w:right w:val="single" w:sz="6" w:space="0" w:color="000000"/>
            </w:tcBorders>
          </w:tcPr>
          <w:p>
            <w:pPr>
              <w:pStyle w:val="Normal"/>
              <w:widowControl/>
              <w:suppressAutoHyphens w:val="true"/>
              <w:spacing w:lineRule="auto" w:line="276" w:before="0" w:after="0"/>
              <w:ind w:right="12"/>
              <w:jc w:val="left"/>
              <w:rPr>
                <w:kern w:val="0"/>
                <w:sz w:val="24"/>
                <w:szCs w:val="24"/>
                <w:lang w:eastAsia="lt-LT" w:bidi="ar-SA"/>
              </w:rPr>
            </w:pPr>
            <w:r>
              <w:rPr>
                <w:kern w:val="2"/>
                <w:sz w:val="24"/>
                <w:szCs w:val="24"/>
                <w:lang w:eastAsia="lt-LT" w:bidi="ar-SA"/>
              </w:rPr>
              <w:t>Iki 2 d.d.</w:t>
            </w:r>
          </w:p>
        </w:tc>
        <w:tc>
          <w:tcPr>
            <w:tcW w:w="2836" w:type="dxa"/>
            <w:tcBorders>
              <w:top w:val="single" w:sz="4" w:space="0" w:color="000000"/>
              <w:left w:val="single" w:sz="6" w:space="0" w:color="000000"/>
              <w:bottom w:val="single" w:sz="4" w:space="0" w:color="000000"/>
              <w:right w:val="single" w:sz="6" w:space="0" w:color="000000"/>
            </w:tcBorders>
          </w:tcPr>
          <w:p>
            <w:pPr>
              <w:pStyle w:val="Normal"/>
              <w:widowControl/>
              <w:suppressAutoHyphens w:val="true"/>
              <w:spacing w:lineRule="auto" w:line="276" w:before="0" w:after="0"/>
              <w:ind w:right="136"/>
              <w:jc w:val="center"/>
              <w:rPr>
                <w:kern w:val="0"/>
                <w:sz w:val="24"/>
                <w:szCs w:val="24"/>
                <w:lang w:eastAsia="lt-LT" w:bidi="ar-SA"/>
              </w:rPr>
            </w:pPr>
            <w:r>
              <w:rPr>
                <w:kern w:val="2"/>
                <w:sz w:val="24"/>
                <w:szCs w:val="24"/>
                <w:lang w:eastAsia="lt-LT" w:bidi="ar-SA"/>
              </w:rPr>
              <w:t>5 d.d.</w:t>
            </w:r>
          </w:p>
        </w:tc>
      </w:tr>
      <w:tr>
        <w:trPr>
          <w:trHeight w:val="819" w:hRule="atLeast"/>
        </w:trPr>
        <w:tc>
          <w:tcPr>
            <w:tcW w:w="3688" w:type="dxa"/>
            <w:tcBorders>
              <w:top w:val="single" w:sz="4" w:space="0" w:color="000000"/>
              <w:left w:val="single" w:sz="4" w:space="0" w:color="000000"/>
              <w:bottom w:val="single" w:sz="4" w:space="0" w:color="000000"/>
              <w:right w:val="single" w:sz="6" w:space="0" w:color="000000"/>
            </w:tcBorders>
          </w:tcPr>
          <w:p>
            <w:pPr>
              <w:pStyle w:val="Normal"/>
              <w:widowControl/>
              <w:suppressAutoHyphens w:val="true"/>
              <w:spacing w:lineRule="auto" w:line="276" w:before="0" w:after="0"/>
              <w:ind w:right="15"/>
              <w:contextualSpacing/>
              <w:jc w:val="left"/>
              <w:rPr>
                <w:kern w:val="0"/>
                <w:sz w:val="24"/>
                <w:szCs w:val="24"/>
                <w:lang w:eastAsia="lt-LT" w:bidi="ar-SA"/>
              </w:rPr>
            </w:pPr>
            <w:r>
              <w:rPr>
                <w:kern w:val="2"/>
                <w:sz w:val="24"/>
                <w:szCs w:val="24"/>
                <w:lang w:eastAsia="lt-LT" w:bidi="ar-SA"/>
              </w:rPr>
              <w:t>Kai darbų apimtis didesne nei 40 val.</w:t>
            </w:r>
          </w:p>
        </w:tc>
        <w:tc>
          <w:tcPr>
            <w:tcW w:w="2551" w:type="dxa"/>
            <w:tcBorders>
              <w:top w:val="single" w:sz="6" w:space="0" w:color="000000"/>
              <w:left w:val="single" w:sz="6" w:space="0" w:color="000000"/>
              <w:bottom w:val="single" w:sz="6" w:space="0" w:color="000000"/>
              <w:right w:val="single" w:sz="6" w:space="0" w:color="000000"/>
            </w:tcBorders>
          </w:tcPr>
          <w:p>
            <w:pPr>
              <w:pStyle w:val="Normal"/>
              <w:widowControl/>
              <w:suppressAutoHyphens w:val="true"/>
              <w:spacing w:lineRule="auto" w:line="276" w:before="0" w:after="0"/>
              <w:ind w:right="12"/>
              <w:jc w:val="left"/>
              <w:rPr>
                <w:kern w:val="0"/>
                <w:sz w:val="24"/>
                <w:szCs w:val="24"/>
                <w:lang w:eastAsia="lt-LT" w:bidi="ar-SA"/>
              </w:rPr>
            </w:pPr>
            <w:r>
              <w:rPr>
                <w:kern w:val="2"/>
                <w:sz w:val="24"/>
                <w:szCs w:val="24"/>
                <w:lang w:eastAsia="lt-LT" w:bidi="ar-SA"/>
              </w:rPr>
              <w:t>Iki 5 d.d.</w:t>
            </w:r>
          </w:p>
        </w:tc>
        <w:tc>
          <w:tcPr>
            <w:tcW w:w="2836" w:type="dxa"/>
            <w:tcBorders>
              <w:top w:val="single" w:sz="4" w:space="0" w:color="000000"/>
              <w:left w:val="single" w:sz="6" w:space="0" w:color="000000"/>
              <w:bottom w:val="single" w:sz="4" w:space="0" w:color="000000"/>
              <w:right w:val="single" w:sz="6" w:space="0" w:color="000000"/>
            </w:tcBorders>
          </w:tcPr>
          <w:p>
            <w:pPr>
              <w:pStyle w:val="Normal"/>
              <w:widowControl/>
              <w:suppressAutoHyphens w:val="true"/>
              <w:spacing w:lineRule="auto" w:line="276" w:before="0" w:after="0"/>
              <w:ind w:right="136"/>
              <w:jc w:val="center"/>
              <w:rPr>
                <w:kern w:val="0"/>
                <w:sz w:val="24"/>
                <w:szCs w:val="24"/>
                <w:lang w:eastAsia="lt-LT" w:bidi="ar-SA"/>
              </w:rPr>
            </w:pPr>
            <w:r>
              <w:rPr>
                <w:kern w:val="2"/>
                <w:sz w:val="24"/>
                <w:szCs w:val="24"/>
                <w:lang w:eastAsia="lt-LT" w:bidi="ar-SA"/>
              </w:rPr>
              <w:t>10 d.d.</w:t>
            </w:r>
          </w:p>
        </w:tc>
      </w:tr>
    </w:tbl>
    <w:p>
      <w:pPr>
        <w:pStyle w:val="ListParagraph"/>
        <w:tabs>
          <w:tab w:val="clear" w:pos="720"/>
          <w:tab w:val="left" w:pos="851" w:leader="none"/>
          <w:tab w:val="left" w:pos="993" w:leader="none"/>
        </w:tabs>
        <w:spacing w:lineRule="auto" w:line="276" w:before="0" w:after="160"/>
        <w:ind w:hanging="10" w:left="900" w:right="650"/>
        <w:jc w:val="both"/>
        <w:rPr/>
      </w:pPr>
      <w:r>
        <w:rPr>
          <w:i/>
          <w:iCs/>
        </w:rPr>
        <w:tab/>
        <w:t>*Reakcija – Reakcijos į Sistemų vystymo darbų užsakymus trukmė suprantama kaip laiko tarpsnis nuo Užsakovo pranešimo pateikimo momento iki jo sprendimo pradžios.</w:t>
      </w:r>
    </w:p>
    <w:p>
      <w:pPr>
        <w:pStyle w:val="Heading2"/>
        <w:numPr>
          <w:ilvl w:val="2"/>
          <w:numId w:val="2"/>
        </w:numPr>
        <w:tabs>
          <w:tab w:val="clear" w:pos="720"/>
          <w:tab w:val="left" w:pos="1260" w:leader="none"/>
        </w:tabs>
        <w:rPr>
          <w:b w:val="false"/>
          <w:bCs w:val="false"/>
        </w:rPr>
      </w:pPr>
      <w:r>
        <w:rPr>
          <w:b w:val="false"/>
          <w:bCs w:val="false"/>
        </w:rPr>
        <w:t>Konsultavimo</w:t>
      </w:r>
      <w:r>
        <w:rPr>
          <w:b w:val="false"/>
          <w:bCs w:val="false"/>
          <w:spacing w:val="-6"/>
        </w:rPr>
        <w:t xml:space="preserve"> </w:t>
      </w:r>
      <w:r>
        <w:rPr>
          <w:b w:val="false"/>
          <w:bCs w:val="false"/>
        </w:rPr>
        <w:t>paslaugų</w:t>
      </w:r>
      <w:r>
        <w:rPr>
          <w:b w:val="false"/>
          <w:bCs w:val="false"/>
          <w:spacing w:val="-8"/>
        </w:rPr>
        <w:t xml:space="preserve"> </w:t>
      </w:r>
      <w:r>
        <w:rPr>
          <w:b w:val="false"/>
          <w:bCs w:val="false"/>
        </w:rPr>
        <w:t>teikimo</w:t>
      </w:r>
      <w:r>
        <w:rPr>
          <w:b w:val="false"/>
          <w:bCs w:val="false"/>
          <w:spacing w:val="-8"/>
        </w:rPr>
        <w:t xml:space="preserve"> </w:t>
      </w:r>
      <w:r>
        <w:rPr>
          <w:b w:val="false"/>
          <w:bCs w:val="false"/>
        </w:rPr>
        <w:t>tvarka</w:t>
      </w:r>
      <w:r>
        <w:rPr>
          <w:b w:val="false"/>
          <w:bCs w:val="false"/>
          <w:spacing w:val="-8"/>
        </w:rPr>
        <w:t xml:space="preserve"> </w:t>
      </w:r>
      <w:r>
        <w:rPr>
          <w:b w:val="false"/>
          <w:bCs w:val="false"/>
        </w:rPr>
        <w:t>ir</w:t>
      </w:r>
      <w:r>
        <w:rPr>
          <w:b w:val="false"/>
          <w:bCs w:val="false"/>
          <w:spacing w:val="-6"/>
        </w:rPr>
        <w:t xml:space="preserve"> </w:t>
      </w:r>
      <w:r>
        <w:rPr>
          <w:b w:val="false"/>
          <w:bCs w:val="false"/>
          <w:spacing w:val="-2"/>
        </w:rPr>
        <w:t>terminai:</w:t>
      </w:r>
    </w:p>
    <w:p>
      <w:pPr>
        <w:pStyle w:val="ListParagraph"/>
        <w:numPr>
          <w:ilvl w:val="3"/>
          <w:numId w:val="2"/>
        </w:numPr>
        <w:tabs>
          <w:tab w:val="clear" w:pos="720"/>
          <w:tab w:val="left" w:pos="1260" w:leader="none"/>
          <w:tab w:val="left" w:pos="1853" w:leader="none"/>
        </w:tabs>
        <w:spacing w:lineRule="auto" w:line="264"/>
        <w:ind w:hanging="1080" w:left="1818" w:right="566"/>
        <w:jc w:val="both"/>
        <w:rPr/>
      </w:pPr>
      <w:r>
        <w:rPr/>
        <w:t>Konsultavimo paslaugos teikiamos esant poreikiui pagal Užsakovo elektroniniu būdu per Paslaugų teikėjo elektroninę pagalbos tarnybą pateikiamus paklausimus (ar kita rašytine Paslaugų teikėjo pasiūlyta ir Užsakovui priimtina forma).</w:t>
      </w:r>
    </w:p>
    <w:p>
      <w:pPr>
        <w:pStyle w:val="ListParagraph"/>
        <w:numPr>
          <w:ilvl w:val="3"/>
          <w:numId w:val="2"/>
        </w:numPr>
        <w:tabs>
          <w:tab w:val="clear" w:pos="720"/>
          <w:tab w:val="left" w:pos="1260" w:leader="none"/>
          <w:tab w:val="left" w:pos="1853" w:leader="none"/>
        </w:tabs>
        <w:spacing w:lineRule="auto" w:line="264"/>
        <w:ind w:hanging="1080" w:left="1818" w:right="566"/>
        <w:jc w:val="both"/>
        <w:rPr/>
      </w:pPr>
      <w:r>
        <w:rPr/>
        <w:t>Priklausomai</w:t>
      </w:r>
      <w:r>
        <w:rPr>
          <w:spacing w:val="-16"/>
        </w:rPr>
        <w:t xml:space="preserve"> </w:t>
      </w:r>
      <w:r>
        <w:rPr/>
        <w:t>nuo</w:t>
      </w:r>
      <w:r>
        <w:rPr>
          <w:spacing w:val="-15"/>
        </w:rPr>
        <w:t xml:space="preserve"> </w:t>
      </w:r>
      <w:r>
        <w:rPr/>
        <w:t>to,</w:t>
      </w:r>
      <w:r>
        <w:rPr>
          <w:spacing w:val="-15"/>
        </w:rPr>
        <w:t xml:space="preserve"> </w:t>
      </w:r>
      <w:r>
        <w:rPr/>
        <w:t>kokiu</w:t>
      </w:r>
      <w:r>
        <w:rPr>
          <w:spacing w:val="-16"/>
        </w:rPr>
        <w:t xml:space="preserve"> </w:t>
      </w:r>
      <w:r>
        <w:rPr/>
        <w:t>būdu</w:t>
      </w:r>
      <w:r>
        <w:rPr>
          <w:spacing w:val="-15"/>
        </w:rPr>
        <w:t xml:space="preserve"> </w:t>
      </w:r>
      <w:r>
        <w:rPr/>
        <w:t>Užsakovas</w:t>
      </w:r>
      <w:r>
        <w:rPr>
          <w:spacing w:val="-15"/>
        </w:rPr>
        <w:t xml:space="preserve"> </w:t>
      </w:r>
      <w:r>
        <w:rPr/>
        <w:t>pateikia</w:t>
      </w:r>
      <w:r>
        <w:rPr>
          <w:spacing w:val="-15"/>
        </w:rPr>
        <w:t xml:space="preserve"> </w:t>
      </w:r>
      <w:r>
        <w:rPr/>
        <w:t>paklausimą,</w:t>
      </w:r>
      <w:r>
        <w:rPr>
          <w:spacing w:val="-16"/>
        </w:rPr>
        <w:t xml:space="preserve"> </w:t>
      </w:r>
      <w:r>
        <w:rPr/>
        <w:t>Paslaugų</w:t>
      </w:r>
      <w:r>
        <w:rPr>
          <w:spacing w:val="-15"/>
        </w:rPr>
        <w:t xml:space="preserve"> </w:t>
      </w:r>
      <w:r>
        <w:rPr/>
        <w:t>teikėjas Konsultavimo paslaugas suteikia atitinkamai telefonu, el. paštu ar kita Paslaugų teikėjo pasiūlyta ir Užsakovui priimtina forma.</w:t>
      </w:r>
    </w:p>
    <w:p>
      <w:pPr>
        <w:pStyle w:val="ListParagraph"/>
        <w:numPr>
          <w:ilvl w:val="3"/>
          <w:numId w:val="2"/>
        </w:numPr>
        <w:tabs>
          <w:tab w:val="clear" w:pos="720"/>
          <w:tab w:val="left" w:pos="1260" w:leader="none"/>
          <w:tab w:val="left" w:pos="1853" w:leader="none"/>
        </w:tabs>
        <w:spacing w:lineRule="auto" w:line="264"/>
        <w:ind w:hanging="1080" w:left="1818" w:right="566"/>
        <w:jc w:val="both"/>
        <w:rPr/>
      </w:pPr>
      <w:r>
        <w:rPr/>
        <w:t>Užsakovas paskiria ne daugiau kaip 3 (tris) atsakingus asmenis, kurie turi teisę pateikti Paslaugų teikėjui paklausimus.</w:t>
      </w:r>
    </w:p>
    <w:p>
      <w:pPr>
        <w:pStyle w:val="ListParagraph"/>
        <w:numPr>
          <w:ilvl w:val="3"/>
          <w:numId w:val="2"/>
        </w:numPr>
        <w:tabs>
          <w:tab w:val="clear" w:pos="720"/>
          <w:tab w:val="left" w:pos="1260" w:leader="none"/>
          <w:tab w:val="left" w:pos="1853" w:leader="none"/>
        </w:tabs>
        <w:spacing w:lineRule="auto" w:line="264"/>
        <w:ind w:hanging="1080" w:left="1818" w:right="566"/>
        <w:jc w:val="both"/>
        <w:rPr/>
      </w:pPr>
      <w:r>
        <w:rPr/>
        <w:t>Konsultavimo paslaugos turi būti teikiamos realiu laiku. Jeigu Paslaugų teikėjas negali suteikti tinkamos konsultacijos iš karto, tai Paslaugų teikėjas turi pateikti atsakymus į neatsakytus paklausimus ne vėliau kaip per 8 (aštuonias) Užsakovo darbo valandas, skaičiuojant nuo Užsakovo paklausimo pateikimo. Šalių sutarimu šis terminas gali būti pratęstas protingam laikotarpiui.</w:t>
      </w:r>
    </w:p>
    <w:p>
      <w:pPr>
        <w:pStyle w:val="BodyText"/>
        <w:rPr>
          <w:sz w:val="20"/>
        </w:rPr>
      </w:pPr>
      <w:r>
        <w:rPr>
          <w:sz w:val="20"/>
        </w:rPr>
      </w:r>
    </w:p>
    <w:p>
      <w:pPr>
        <w:pStyle w:val="BodyText"/>
        <w:numPr>
          <w:ilvl w:val="0"/>
          <w:numId w:val="2"/>
        </w:numPr>
        <w:spacing w:before="105" w:after="0"/>
        <w:ind w:hanging="630" w:left="810"/>
        <w:rPr>
          <w:b/>
          <w:bCs/>
        </w:rPr>
      </w:pPr>
      <w:r>
        <w:rPr>
          <w:b/>
          <w:bCs/>
        </w:rPr>
        <w:t>BENDRIEJI</w:t>
      </w:r>
      <w:r>
        <w:rPr>
          <w:b/>
          <w:bCs/>
          <w:spacing w:val="-12"/>
        </w:rPr>
        <w:t xml:space="preserve"> </w:t>
      </w:r>
      <w:r>
        <w:rPr>
          <w:b/>
          <w:bCs/>
        </w:rPr>
        <w:t>SISTEMŲ</w:t>
      </w:r>
      <w:r>
        <w:rPr>
          <w:b/>
          <w:bCs/>
          <w:spacing w:val="-9"/>
        </w:rPr>
        <w:t xml:space="preserve"> </w:t>
      </w:r>
      <w:r>
        <w:rPr>
          <w:b/>
          <w:bCs/>
        </w:rPr>
        <w:t>DUOMENŲ</w:t>
      </w:r>
      <w:r>
        <w:rPr>
          <w:b/>
          <w:bCs/>
          <w:spacing w:val="-10"/>
        </w:rPr>
        <w:t xml:space="preserve"> </w:t>
      </w:r>
      <w:r>
        <w:rPr>
          <w:b/>
          <w:bCs/>
        </w:rPr>
        <w:t>APDOROJIMO</w:t>
      </w:r>
      <w:r>
        <w:rPr>
          <w:b/>
          <w:bCs/>
          <w:spacing w:val="-9"/>
        </w:rPr>
        <w:t xml:space="preserve"> </w:t>
      </w:r>
      <w:r>
        <w:rPr>
          <w:b/>
          <w:bCs/>
          <w:spacing w:val="-2"/>
        </w:rPr>
        <w:t>PRINCIPAI</w:t>
      </w:r>
    </w:p>
    <w:p>
      <w:pPr>
        <w:pStyle w:val="BodyText"/>
        <w:spacing w:before="53" w:after="0"/>
        <w:ind w:hanging="630" w:left="810"/>
        <w:rPr>
          <w:b/>
        </w:rPr>
      </w:pPr>
      <w:r>
        <w:rPr>
          <w:b/>
        </w:rPr>
      </w:r>
    </w:p>
    <w:p>
      <w:pPr>
        <w:pStyle w:val="ListParagraph"/>
        <w:numPr>
          <w:ilvl w:val="1"/>
          <w:numId w:val="5"/>
        </w:numPr>
        <w:tabs>
          <w:tab w:val="clear" w:pos="720"/>
          <w:tab w:val="left" w:pos="142" w:leader="none"/>
          <w:tab w:val="left" w:pos="564" w:leader="none"/>
        </w:tabs>
        <w:spacing w:lineRule="auto" w:line="264"/>
        <w:ind w:hanging="450" w:left="630" w:right="568"/>
        <w:jc w:val="both"/>
        <w:rPr/>
      </w:pPr>
      <w:r>
        <w:rPr/>
        <w:t>Visiems naudotojams turi</w:t>
      </w:r>
      <w:r>
        <w:rPr>
          <w:spacing w:val="-1"/>
        </w:rPr>
        <w:t xml:space="preserve"> </w:t>
      </w:r>
      <w:r>
        <w:rPr/>
        <w:t>būti</w:t>
      </w:r>
      <w:r>
        <w:rPr>
          <w:spacing w:val="-1"/>
        </w:rPr>
        <w:t xml:space="preserve"> </w:t>
      </w:r>
      <w:r>
        <w:rPr/>
        <w:t>galima</w:t>
      </w:r>
      <w:r>
        <w:rPr>
          <w:spacing w:val="-3"/>
        </w:rPr>
        <w:t xml:space="preserve"> </w:t>
      </w:r>
      <w:r>
        <w:rPr/>
        <w:t>nepertraukiamai</w:t>
      </w:r>
      <w:r>
        <w:rPr>
          <w:spacing w:val="-1"/>
        </w:rPr>
        <w:t xml:space="preserve"> </w:t>
      </w:r>
      <w:r>
        <w:rPr/>
        <w:t>dirbti su</w:t>
      </w:r>
      <w:r>
        <w:rPr>
          <w:spacing w:val="-3"/>
        </w:rPr>
        <w:t xml:space="preserve"> </w:t>
      </w:r>
      <w:r>
        <w:rPr/>
        <w:t>Sistemomis, kol</w:t>
      </w:r>
      <w:r>
        <w:rPr>
          <w:spacing w:val="-2"/>
        </w:rPr>
        <w:t xml:space="preserve"> </w:t>
      </w:r>
      <w:r>
        <w:rPr/>
        <w:t>vykdomi</w:t>
      </w:r>
      <w:r>
        <w:rPr>
          <w:spacing w:val="-3"/>
        </w:rPr>
        <w:t xml:space="preserve"> </w:t>
      </w:r>
      <w:r>
        <w:rPr/>
        <w:t>kiti</w:t>
      </w:r>
      <w:r>
        <w:rPr>
          <w:spacing w:val="-1"/>
        </w:rPr>
        <w:t xml:space="preserve"> </w:t>
      </w:r>
      <w:r>
        <w:rPr/>
        <w:t>darbai (pavyzdžiui,</w:t>
      </w:r>
      <w:r>
        <w:rPr>
          <w:spacing w:val="-7"/>
        </w:rPr>
        <w:t xml:space="preserve"> </w:t>
      </w:r>
      <w:r>
        <w:rPr/>
        <w:t>atliekamų</w:t>
      </w:r>
      <w:r>
        <w:rPr>
          <w:spacing w:val="-8"/>
        </w:rPr>
        <w:t xml:space="preserve"> </w:t>
      </w:r>
      <w:r>
        <w:rPr/>
        <w:t>paketinių</w:t>
      </w:r>
      <w:r>
        <w:rPr>
          <w:spacing w:val="-6"/>
        </w:rPr>
        <w:t xml:space="preserve"> </w:t>
      </w:r>
      <w:r>
        <w:rPr/>
        <w:t>užduočių</w:t>
      </w:r>
      <w:r>
        <w:rPr>
          <w:spacing w:val="-8"/>
        </w:rPr>
        <w:t xml:space="preserve"> </w:t>
      </w:r>
      <w:r>
        <w:rPr/>
        <w:t>veiksmai,</w:t>
      </w:r>
      <w:r>
        <w:rPr>
          <w:spacing w:val="-5"/>
        </w:rPr>
        <w:t xml:space="preserve"> </w:t>
      </w:r>
      <w:r>
        <w:rPr/>
        <w:t>registravimai,</w:t>
      </w:r>
      <w:r>
        <w:rPr>
          <w:spacing w:val="-7"/>
        </w:rPr>
        <w:t xml:space="preserve"> </w:t>
      </w:r>
      <w:r>
        <w:rPr/>
        <w:t>kiti</w:t>
      </w:r>
      <w:r>
        <w:rPr>
          <w:spacing w:val="-7"/>
        </w:rPr>
        <w:t xml:space="preserve"> </w:t>
      </w:r>
      <w:r>
        <w:rPr/>
        <w:t>naudotojų</w:t>
      </w:r>
      <w:r>
        <w:rPr>
          <w:spacing w:val="-8"/>
        </w:rPr>
        <w:t xml:space="preserve"> </w:t>
      </w:r>
      <w:r>
        <w:rPr/>
        <w:t>veiksmai),</w:t>
      </w:r>
      <w:r>
        <w:rPr>
          <w:spacing w:val="-7"/>
        </w:rPr>
        <w:t xml:space="preserve"> </w:t>
      </w:r>
      <w:r>
        <w:rPr/>
        <w:t>išskyrus Sistemų administratoriaus veiksmus, neturi blokuoti kito naudotojo veiksmų ir neturi daryti įtakos Sistemų greitaveikai.</w:t>
      </w:r>
    </w:p>
    <w:p>
      <w:pPr>
        <w:pStyle w:val="ListParagraph"/>
        <w:numPr>
          <w:ilvl w:val="1"/>
          <w:numId w:val="5"/>
        </w:numPr>
        <w:ind w:hanging="450" w:left="630" w:right="551"/>
        <w:jc w:val="both"/>
        <w:rPr/>
      </w:pPr>
      <w:r>
        <w:rPr/>
        <w:t>Papildomai</w:t>
      </w:r>
      <w:r>
        <w:rPr>
          <w:spacing w:val="-10"/>
        </w:rPr>
        <w:t xml:space="preserve"> </w:t>
      </w:r>
      <w:r>
        <w:rPr/>
        <w:t>užsakomi</w:t>
      </w:r>
      <w:r>
        <w:rPr>
          <w:spacing w:val="-7"/>
        </w:rPr>
        <w:t xml:space="preserve"> </w:t>
      </w:r>
      <w:r>
        <w:rPr/>
        <w:t>Sistemų</w:t>
      </w:r>
      <w:r>
        <w:rPr>
          <w:spacing w:val="-9"/>
        </w:rPr>
        <w:t xml:space="preserve"> </w:t>
      </w:r>
      <w:r>
        <w:rPr/>
        <w:t>vystymo</w:t>
      </w:r>
      <w:r>
        <w:rPr>
          <w:spacing w:val="-9"/>
        </w:rPr>
        <w:t xml:space="preserve"> </w:t>
      </w:r>
      <w:r>
        <w:rPr/>
        <w:t>darbai</w:t>
      </w:r>
      <w:r>
        <w:rPr>
          <w:spacing w:val="-7"/>
        </w:rPr>
        <w:t xml:space="preserve"> </w:t>
      </w:r>
      <w:r>
        <w:rPr/>
        <w:t>neturi</w:t>
      </w:r>
      <w:r>
        <w:rPr>
          <w:spacing w:val="-9"/>
        </w:rPr>
        <w:t xml:space="preserve"> </w:t>
      </w:r>
      <w:r>
        <w:rPr/>
        <w:t>reikalauti</w:t>
      </w:r>
      <w:r>
        <w:rPr>
          <w:spacing w:val="-7"/>
        </w:rPr>
        <w:t xml:space="preserve"> </w:t>
      </w:r>
      <w:r>
        <w:rPr/>
        <w:t>pakartotinio</w:t>
      </w:r>
      <w:r>
        <w:rPr>
          <w:spacing w:val="-7"/>
        </w:rPr>
        <w:t xml:space="preserve"> </w:t>
      </w:r>
      <w:r>
        <w:rPr/>
        <w:t>Sistemų</w:t>
      </w:r>
      <w:r>
        <w:rPr>
          <w:spacing w:val="-8"/>
        </w:rPr>
        <w:t xml:space="preserve"> </w:t>
      </w:r>
      <w:r>
        <w:rPr>
          <w:spacing w:val="-2"/>
        </w:rPr>
        <w:t>diegimo.</w:t>
      </w:r>
    </w:p>
    <w:p>
      <w:pPr>
        <w:pStyle w:val="ListParagraph"/>
        <w:numPr>
          <w:ilvl w:val="1"/>
          <w:numId w:val="5"/>
        </w:numPr>
        <w:ind w:hanging="450" w:left="630"/>
        <w:rPr/>
      </w:pPr>
      <w:r>
        <w:rPr/>
        <w:t>Sistemų naudotojams neturi reikėti įvedinėti tos pačios informacijos į Sistemas daugiau nei vieną kartą.</w:t>
      </w:r>
    </w:p>
    <w:p>
      <w:pPr>
        <w:pStyle w:val="Normal"/>
        <w:ind w:hanging="630" w:left="810"/>
        <w:rPr/>
      </w:pPr>
      <w:r>
        <w:rPr/>
      </w:r>
    </w:p>
    <w:p>
      <w:pPr>
        <w:pStyle w:val="Heading1"/>
        <w:numPr>
          <w:ilvl w:val="0"/>
          <w:numId w:val="6"/>
        </w:numPr>
        <w:tabs>
          <w:tab w:val="clear" w:pos="720"/>
          <w:tab w:val="left" w:pos="364" w:leader="none"/>
        </w:tabs>
        <w:spacing w:before="0" w:after="0"/>
        <w:ind w:hanging="360" w:left="724" w:right="424"/>
        <w:rPr>
          <w:b w:val="false"/>
          <w:bCs w:val="false"/>
          <w:color w:themeColor="text1" w:val="000000"/>
          <w:spacing w:val="-4"/>
        </w:rPr>
      </w:pPr>
      <w:r>
        <w:rPr>
          <w:color w:themeColor="text1" w:val="000000"/>
        </w:rPr>
        <w:t>SISTEMOS</w:t>
      </w:r>
      <w:r>
        <w:rPr>
          <w:color w:themeColor="text1" w:val="000000"/>
          <w:spacing w:val="-13"/>
        </w:rPr>
        <w:t xml:space="preserve"> </w:t>
      </w:r>
      <w:r>
        <w:rPr>
          <w:color w:themeColor="text1" w:val="000000"/>
          <w:spacing w:val="-4"/>
        </w:rPr>
        <w:t>SAUGA IR NACIONALINIO SAUGUMO REIKALAVIMAI</w:t>
      </w:r>
    </w:p>
    <w:p>
      <w:pPr>
        <w:pStyle w:val="Heading1"/>
        <w:tabs>
          <w:tab w:val="clear" w:pos="720"/>
          <w:tab w:val="left" w:pos="364" w:leader="none"/>
        </w:tabs>
        <w:spacing w:before="0" w:after="0"/>
        <w:ind w:hanging="0" w:left="720" w:right="424"/>
        <w:rPr>
          <w:color w:themeColor="text1" w:val="000000"/>
          <w:spacing w:val="-4"/>
        </w:rPr>
      </w:pPr>
      <w:r>
        <w:rPr>
          <w:color w:themeColor="text1" w:val="000000"/>
          <w:spacing w:val="-4"/>
        </w:rPr>
      </w:r>
    </w:p>
    <w:p>
      <w:pPr>
        <w:pStyle w:val="ListParagraph"/>
        <w:numPr>
          <w:ilvl w:val="1"/>
          <w:numId w:val="6"/>
        </w:numPr>
        <w:spacing w:lineRule="auto" w:line="264" w:before="1" w:after="0"/>
        <w:ind w:hanging="720" w:left="1084" w:right="424"/>
        <w:jc w:val="both"/>
        <w:rPr/>
      </w:pPr>
      <w:r>
        <w:rPr>
          <w:color w:themeColor="text1" w:val="000000"/>
        </w:rPr>
        <w:t>Pirkimo objektas turi atitikti informacinei sistemai keliamus saugos reikalavimus, nustatytus Kibernetinio</w:t>
      </w:r>
      <w:r>
        <w:rPr>
          <w:color w:themeColor="text1" w:val="000000"/>
          <w:spacing w:val="80"/>
        </w:rPr>
        <w:t xml:space="preserve"> </w:t>
      </w:r>
      <w:r>
        <w:rPr>
          <w:color w:themeColor="text1" w:val="000000"/>
        </w:rPr>
        <w:t>saugumo</w:t>
      </w:r>
      <w:r>
        <w:rPr>
          <w:color w:themeColor="text1" w:val="000000"/>
          <w:spacing w:val="80"/>
        </w:rPr>
        <w:t xml:space="preserve"> </w:t>
      </w:r>
      <w:r>
        <w:rPr>
          <w:color w:themeColor="text1" w:val="000000"/>
        </w:rPr>
        <w:t>reikalavimų</w:t>
      </w:r>
      <w:r>
        <w:rPr>
          <w:color w:themeColor="text1" w:val="000000"/>
          <w:spacing w:val="40"/>
        </w:rPr>
        <w:t xml:space="preserve"> </w:t>
      </w:r>
      <w:r>
        <w:rPr>
          <w:color w:themeColor="text1" w:val="000000"/>
        </w:rPr>
        <w:t>apraše,</w:t>
      </w:r>
      <w:r>
        <w:rPr>
          <w:color w:themeColor="text1" w:val="000000"/>
          <w:spacing w:val="40"/>
        </w:rPr>
        <w:t xml:space="preserve"> </w:t>
      </w:r>
      <w:r>
        <w:rPr>
          <w:color w:themeColor="text1" w:val="000000"/>
        </w:rPr>
        <w:t>patvirtintame</w:t>
      </w:r>
      <w:r>
        <w:rPr>
          <w:color w:themeColor="text1" w:val="000000"/>
          <w:spacing w:val="40"/>
        </w:rPr>
        <w:t xml:space="preserve"> </w:t>
      </w:r>
      <w:r>
        <w:rPr>
          <w:color w:themeColor="text1" w:val="000000"/>
        </w:rPr>
        <w:t>Lietuvos</w:t>
      </w:r>
      <w:r>
        <w:rPr>
          <w:color w:themeColor="text1" w:val="000000"/>
          <w:spacing w:val="40"/>
        </w:rPr>
        <w:t xml:space="preserve"> </w:t>
      </w:r>
      <w:r>
        <w:rPr>
          <w:color w:themeColor="text1" w:val="000000"/>
        </w:rPr>
        <w:t>Respublikos</w:t>
      </w:r>
      <w:r>
        <w:rPr>
          <w:color w:themeColor="text1" w:val="000000"/>
          <w:spacing w:val="40"/>
        </w:rPr>
        <w:t xml:space="preserve"> </w:t>
      </w:r>
      <w:r>
        <w:rPr/>
        <w:t>Vyriausybės</w:t>
      </w:r>
      <w:r>
        <w:rPr>
          <w:spacing w:val="40"/>
        </w:rPr>
        <w:t xml:space="preserve"> </w:t>
      </w:r>
      <w:r>
        <w:rPr/>
        <w:t>2018</w:t>
      </w:r>
      <w:r>
        <w:rPr>
          <w:spacing w:val="40"/>
        </w:rPr>
        <w:t xml:space="preserve"> </w:t>
      </w:r>
      <w:r>
        <w:rPr/>
        <w:t>m.</w:t>
      </w:r>
      <w:r>
        <w:rPr>
          <w:spacing w:val="40"/>
        </w:rPr>
        <w:t xml:space="preserve"> </w:t>
      </w:r>
      <w:r>
        <w:rPr/>
        <w:t>rugpjūčio</w:t>
      </w:r>
      <w:r>
        <w:rPr>
          <w:spacing w:val="40"/>
        </w:rPr>
        <w:t xml:space="preserve"> </w:t>
      </w:r>
      <w:r>
        <w:rPr/>
        <w:t>13</w:t>
      </w:r>
      <w:r>
        <w:rPr>
          <w:spacing w:val="40"/>
        </w:rPr>
        <w:t xml:space="preserve"> </w:t>
      </w:r>
      <w:r>
        <w:rPr/>
        <w:t>d. nutarimu</w:t>
      </w:r>
      <w:r>
        <w:rPr>
          <w:spacing w:val="-10"/>
        </w:rPr>
        <w:t xml:space="preserve"> </w:t>
      </w:r>
      <w:r>
        <w:rPr/>
        <w:t>Nr.</w:t>
      </w:r>
      <w:r>
        <w:rPr>
          <w:spacing w:val="-9"/>
        </w:rPr>
        <w:t xml:space="preserve"> </w:t>
      </w:r>
      <w:r>
        <w:rPr/>
        <w:t>818</w:t>
      </w:r>
      <w:r>
        <w:rPr>
          <w:spacing w:val="-10"/>
        </w:rPr>
        <w:t xml:space="preserve"> </w:t>
      </w:r>
      <w:r>
        <w:rPr/>
        <w:t>„Dėl</w:t>
      </w:r>
      <w:r>
        <w:rPr>
          <w:spacing w:val="-9"/>
        </w:rPr>
        <w:t xml:space="preserve"> </w:t>
      </w:r>
      <w:r>
        <w:rPr/>
        <w:t>Lietuvos</w:t>
      </w:r>
      <w:r>
        <w:rPr>
          <w:spacing w:val="-10"/>
        </w:rPr>
        <w:t xml:space="preserve"> </w:t>
      </w:r>
      <w:r>
        <w:rPr/>
        <w:t>Respublikos</w:t>
      </w:r>
      <w:r>
        <w:rPr>
          <w:spacing w:val="-8"/>
        </w:rPr>
        <w:t xml:space="preserve"> </w:t>
      </w:r>
      <w:r>
        <w:rPr/>
        <w:t>kibernetinio</w:t>
      </w:r>
      <w:r>
        <w:rPr>
          <w:spacing w:val="-8"/>
        </w:rPr>
        <w:t xml:space="preserve"> </w:t>
      </w:r>
      <w:r>
        <w:rPr/>
        <w:t>saugumo</w:t>
      </w:r>
      <w:r>
        <w:rPr>
          <w:spacing w:val="-10"/>
        </w:rPr>
        <w:t xml:space="preserve"> </w:t>
      </w:r>
      <w:r>
        <w:rPr/>
        <w:t>įstatymo</w:t>
      </w:r>
      <w:r>
        <w:rPr>
          <w:spacing w:val="-10"/>
        </w:rPr>
        <w:t xml:space="preserve"> </w:t>
      </w:r>
      <w:r>
        <w:rPr/>
        <w:t>įgyvendinimo“ (toliau – Aprašas),</w:t>
      </w:r>
      <w:r>
        <w:rPr>
          <w:spacing w:val="-8"/>
        </w:rPr>
        <w:t xml:space="preserve"> </w:t>
      </w:r>
      <w:r>
        <w:rPr/>
        <w:t>2016</w:t>
      </w:r>
      <w:r>
        <w:rPr>
          <w:spacing w:val="-11"/>
        </w:rPr>
        <w:t xml:space="preserve"> </w:t>
      </w:r>
      <w:r>
        <w:rPr/>
        <w:t>m. balandžio</w:t>
      </w:r>
      <w:r>
        <w:rPr>
          <w:spacing w:val="37"/>
        </w:rPr>
        <w:t xml:space="preserve"> </w:t>
      </w:r>
      <w:r>
        <w:rPr/>
        <w:t>27</w:t>
      </w:r>
      <w:r>
        <w:rPr>
          <w:spacing w:val="37"/>
        </w:rPr>
        <w:t xml:space="preserve"> </w:t>
      </w:r>
      <w:r>
        <w:rPr/>
        <w:t>d.</w:t>
      </w:r>
      <w:r>
        <w:rPr>
          <w:spacing w:val="38"/>
        </w:rPr>
        <w:t xml:space="preserve"> </w:t>
      </w:r>
      <w:r>
        <w:rPr/>
        <w:t>Europos</w:t>
      </w:r>
      <w:r>
        <w:rPr>
          <w:spacing w:val="38"/>
        </w:rPr>
        <w:t xml:space="preserve"> </w:t>
      </w:r>
      <w:r>
        <w:rPr/>
        <w:t>Parlamento</w:t>
      </w:r>
      <w:r>
        <w:rPr>
          <w:spacing w:val="37"/>
        </w:rPr>
        <w:t xml:space="preserve"> </w:t>
      </w:r>
      <w:r>
        <w:rPr/>
        <w:t>ir</w:t>
      </w:r>
      <w:r>
        <w:rPr>
          <w:spacing w:val="39"/>
        </w:rPr>
        <w:t xml:space="preserve"> </w:t>
      </w:r>
      <w:r>
        <w:rPr/>
        <w:t>Tarybos</w:t>
      </w:r>
      <w:r>
        <w:rPr>
          <w:spacing w:val="35"/>
        </w:rPr>
        <w:t xml:space="preserve"> </w:t>
      </w:r>
      <w:r>
        <w:rPr/>
        <w:t>reglamente</w:t>
      </w:r>
      <w:r>
        <w:rPr>
          <w:spacing w:val="35"/>
        </w:rPr>
        <w:t xml:space="preserve"> </w:t>
      </w:r>
      <w:r>
        <w:rPr/>
        <w:t>(ES)</w:t>
      </w:r>
      <w:r>
        <w:rPr>
          <w:spacing w:val="39"/>
        </w:rPr>
        <w:t xml:space="preserve"> </w:t>
      </w:r>
      <w:r>
        <w:rPr/>
        <w:t>2016/679</w:t>
      </w:r>
      <w:r>
        <w:rPr>
          <w:spacing w:val="37"/>
        </w:rPr>
        <w:t xml:space="preserve"> </w:t>
      </w:r>
      <w:r>
        <w:rPr/>
        <w:t>dėl</w:t>
      </w:r>
      <w:r>
        <w:rPr>
          <w:spacing w:val="37"/>
        </w:rPr>
        <w:t xml:space="preserve"> </w:t>
      </w:r>
      <w:r>
        <w:rPr/>
        <w:t>fizinių</w:t>
      </w:r>
      <w:r>
        <w:rPr>
          <w:spacing w:val="37"/>
        </w:rPr>
        <w:t xml:space="preserve"> </w:t>
      </w:r>
      <w:r>
        <w:rPr/>
        <w:t>asmenų apsaugos tvarkant asmens duomenis ir dėl laisvo tokių duomenų judėjimo ir kuriuo panaikinama Direktyva 95/46/EB</w:t>
      </w:r>
      <w:r>
        <w:rPr>
          <w:spacing w:val="-1"/>
        </w:rPr>
        <w:t xml:space="preserve"> </w:t>
      </w:r>
      <w:r>
        <w:rPr/>
        <w:t>(Bendrasis duomenų</w:t>
      </w:r>
      <w:r>
        <w:rPr>
          <w:spacing w:val="-1"/>
        </w:rPr>
        <w:t xml:space="preserve"> </w:t>
      </w:r>
      <w:r>
        <w:rPr/>
        <w:t>apsaugos</w:t>
      </w:r>
      <w:r>
        <w:rPr>
          <w:spacing w:val="-1"/>
        </w:rPr>
        <w:t xml:space="preserve"> </w:t>
      </w:r>
      <w:r>
        <w:rPr/>
        <w:t>reglamentas) (toliau – BDAR),</w:t>
      </w:r>
      <w:r>
        <w:rPr>
          <w:spacing w:val="-2"/>
        </w:rPr>
        <w:t xml:space="preserve"> </w:t>
      </w:r>
      <w:r>
        <w:rPr/>
        <w:t>Lietuvos standartuose</w:t>
      </w:r>
      <w:r>
        <w:rPr>
          <w:spacing w:val="-1"/>
        </w:rPr>
        <w:t xml:space="preserve"> </w:t>
      </w:r>
      <w:r>
        <w:rPr/>
        <w:t>LST</w:t>
      </w:r>
      <w:r>
        <w:rPr>
          <w:spacing w:val="-4"/>
        </w:rPr>
        <w:t xml:space="preserve"> </w:t>
      </w:r>
      <w:r>
        <w:rPr/>
        <w:t>ISO/ IEC 27001 „Informacinės technologijos. Saugumo metodai“. Informacijos saugumo valdymo sistemos. Reikalavimai“, LST ISO / IEC 27002 „Informacinės technologijos. Saugumo metodai“. Informacijos</w:t>
      </w:r>
      <w:r>
        <w:rPr>
          <w:spacing w:val="72"/>
        </w:rPr>
        <w:t xml:space="preserve"> </w:t>
      </w:r>
      <w:r>
        <w:rPr/>
        <w:t>saugumo</w:t>
      </w:r>
      <w:r>
        <w:rPr>
          <w:spacing w:val="70"/>
        </w:rPr>
        <w:t xml:space="preserve"> </w:t>
      </w:r>
      <w:r>
        <w:rPr/>
        <w:t>kontrolės</w:t>
      </w:r>
      <w:r>
        <w:rPr>
          <w:spacing w:val="72"/>
        </w:rPr>
        <w:t xml:space="preserve"> </w:t>
      </w:r>
      <w:r>
        <w:rPr/>
        <w:t>priemonių</w:t>
      </w:r>
      <w:r>
        <w:rPr>
          <w:spacing w:val="72"/>
        </w:rPr>
        <w:t xml:space="preserve"> </w:t>
      </w:r>
      <w:r>
        <w:rPr/>
        <w:t>praktikos</w:t>
      </w:r>
      <w:r>
        <w:rPr>
          <w:spacing w:val="72"/>
        </w:rPr>
        <w:t xml:space="preserve"> </w:t>
      </w:r>
      <w:r>
        <w:rPr/>
        <w:t>nuostatai“,</w:t>
      </w:r>
      <w:r>
        <w:rPr>
          <w:spacing w:val="73"/>
        </w:rPr>
        <w:t xml:space="preserve"> </w:t>
      </w:r>
      <w:r>
        <w:rPr/>
        <w:t>taip</w:t>
      </w:r>
      <w:r>
        <w:rPr>
          <w:spacing w:val="70"/>
        </w:rPr>
        <w:t xml:space="preserve"> </w:t>
      </w:r>
      <w:r>
        <w:rPr/>
        <w:t>pat</w:t>
      </w:r>
      <w:r>
        <w:rPr>
          <w:spacing w:val="73"/>
        </w:rPr>
        <w:t xml:space="preserve"> </w:t>
      </w:r>
      <w:r>
        <w:rPr/>
        <w:t>kituose</w:t>
      </w:r>
      <w:r>
        <w:rPr>
          <w:spacing w:val="72"/>
        </w:rPr>
        <w:t xml:space="preserve"> </w:t>
      </w:r>
      <w:r>
        <w:rPr/>
        <w:t>Lietuvos</w:t>
      </w:r>
      <w:r>
        <w:rPr>
          <w:spacing w:val="72"/>
        </w:rPr>
        <w:t xml:space="preserve"> </w:t>
      </w:r>
      <w:r>
        <w:rPr/>
        <w:t xml:space="preserve">ir </w:t>
      </w:r>
      <w:r>
        <w:rPr>
          <w:spacing w:val="-2"/>
        </w:rPr>
        <w:t>tarptautiniuose</w:t>
      </w:r>
      <w:r>
        <w:rPr/>
        <w:t xml:space="preserve"> </w:t>
      </w:r>
      <w:r>
        <w:rPr>
          <w:spacing w:val="-2"/>
        </w:rPr>
        <w:t>„Informacijos</w:t>
      </w:r>
      <w:r>
        <w:rPr/>
        <w:t xml:space="preserve"> </w:t>
      </w:r>
      <w:r>
        <w:rPr>
          <w:spacing w:val="-2"/>
        </w:rPr>
        <w:t>technologija.</w:t>
      </w:r>
      <w:r>
        <w:rPr/>
        <w:t xml:space="preserve"> </w:t>
      </w:r>
      <w:r>
        <w:rPr>
          <w:spacing w:val="-2"/>
        </w:rPr>
        <w:t>Saugumo</w:t>
      </w:r>
      <w:r>
        <w:rPr/>
        <w:t xml:space="preserve"> </w:t>
      </w:r>
      <w:r>
        <w:rPr>
          <w:spacing w:val="-2"/>
        </w:rPr>
        <w:t>metodai“</w:t>
      </w:r>
      <w:r>
        <w:rPr/>
        <w:t xml:space="preserve"> </w:t>
      </w:r>
      <w:r>
        <w:rPr>
          <w:spacing w:val="-2"/>
        </w:rPr>
        <w:t>grupės</w:t>
      </w:r>
      <w:r>
        <w:rPr/>
        <w:t xml:space="preserve"> </w:t>
      </w:r>
      <w:r>
        <w:rPr>
          <w:spacing w:val="-2"/>
        </w:rPr>
        <w:t xml:space="preserve">standartuose, </w:t>
      </w:r>
      <w:r>
        <w:rPr/>
        <w:t>apibūdinančiuose saugų duomenų tvarkymą.</w:t>
      </w:r>
    </w:p>
    <w:p>
      <w:pPr>
        <w:pStyle w:val="ListParagraph"/>
        <w:numPr>
          <w:ilvl w:val="1"/>
          <w:numId w:val="6"/>
        </w:numPr>
        <w:spacing w:lineRule="auto" w:line="264" w:before="1" w:after="0"/>
        <w:ind w:hanging="720" w:left="1084" w:right="424"/>
        <w:jc w:val="both"/>
        <w:rPr/>
      </w:pPr>
      <w:r>
        <w:rPr/>
        <w:t xml:space="preserve">Funkcinių reikalavimų dokumentuose bus pateikti detalesni kibernetinio saugumo reikalavimai, kuriuos Paslaugų teikėjas privalės įgyvendinti kurdamas ar vystydamas Sistemas. </w:t>
      </w:r>
    </w:p>
    <w:p>
      <w:pPr>
        <w:pStyle w:val="ListParagraph"/>
        <w:numPr>
          <w:ilvl w:val="1"/>
          <w:numId w:val="6"/>
        </w:numPr>
        <w:spacing w:lineRule="auto" w:line="264" w:before="1" w:after="0"/>
        <w:ind w:hanging="720" w:left="1084" w:right="424"/>
        <w:jc w:val="both"/>
        <w:rPr/>
      </w:pPr>
      <w:r>
        <w:rPr/>
        <w:t xml:space="preserve">Jei taikoma, Paslaugų teikėjas privalės pasirašyti susitarimus dėl asmens duomenų tvarkymo vadovaujantis BDAR 28 str. 3 d., jei Paslaugų teikėjui bus pavedama atlikti asmens duomenų tvarkymo veiksmus. </w:t>
      </w:r>
    </w:p>
    <w:p>
      <w:pPr>
        <w:pStyle w:val="ListParagraph"/>
        <w:numPr>
          <w:ilvl w:val="1"/>
          <w:numId w:val="6"/>
        </w:numPr>
        <w:spacing w:lineRule="auto" w:line="264" w:before="1" w:after="0"/>
        <w:ind w:hanging="720" w:left="1084" w:right="424"/>
        <w:jc w:val="both"/>
        <w:rPr/>
      </w:pPr>
      <w:r>
        <w:rPr/>
        <w:t>Pirkimo objektas turi nekelti grėsmės nacionaliniam saugumui. Užsakovas laiko, kad prekės, paslaugos ir darbai kelia grėsmę nacionaliniam saugumui, kai pasiūlymą pateikęs paslaugų teikėjas, jo subtiekėjas, ar ūkio subjektai, kurių pajėgumais remiamasi, ar juos kontroliuojantys asmenys yra juridiniai arba fiziniai asmenys registruoti ar nuolat gyvenantys Lietuvos Respublikos viešųjų pirkimų įstatymo (toliau – VPĮ) 92 str. 14 d. numatytame sąraše nurodytose valstybėse ar teritorijose ar turintys šių valstybių pilietybę, arba jų siūlomų prekių (įskaitant jų sudedamąsias dalis, programinę įrangą) gamintojai ar juos kontroliuojantys asmenys yra registruoti VPĮ 92 str. 14 d. numatytame sąraše nurodytose valstybėse ar teritorijose arba paslaugų teikimas vykdomas iš VPĮ 92 str. 14 d. numatytame sąraše nurodytų valstybių ar teritorijų.</w:t>
      </w:r>
    </w:p>
    <w:p>
      <w:pPr>
        <w:pStyle w:val="BodyText"/>
        <w:spacing w:before="167" w:after="0"/>
        <w:ind w:right="424"/>
        <w:rPr>
          <w:b/>
          <w:bCs/>
        </w:rPr>
      </w:pPr>
      <w:r>
        <w:rPr>
          <w:b/>
          <w:bCs/>
        </w:rPr>
      </w:r>
    </w:p>
    <w:p>
      <w:pPr>
        <w:pStyle w:val="ListParagraph"/>
        <w:numPr>
          <w:ilvl w:val="0"/>
          <w:numId w:val="6"/>
        </w:numPr>
        <w:tabs>
          <w:tab w:val="clear" w:pos="720"/>
          <w:tab w:val="left" w:pos="0" w:leader="none"/>
        </w:tabs>
        <w:ind w:hanging="360" w:left="724" w:right="424"/>
        <w:jc w:val="both"/>
        <w:textAlignment w:val="baseline"/>
        <w:rPr/>
      </w:pPr>
      <w:r>
        <w:rPr>
          <w:b/>
          <w:bCs/>
        </w:rPr>
        <w:t>REIKALAVIMAI, SUSIJĘ SU INFORMACIJOS (DUOMENŲ) SAUGUMU VYKDANT SUTARTĮ</w:t>
      </w:r>
      <w:r>
        <w:rPr/>
        <w:t xml:space="preserve"> </w:t>
      </w:r>
    </w:p>
    <w:p>
      <w:pPr>
        <w:pStyle w:val="Normal"/>
        <w:tabs>
          <w:tab w:val="clear" w:pos="720"/>
          <w:tab w:val="left" w:pos="0" w:leader="none"/>
        </w:tabs>
        <w:ind w:right="424"/>
        <w:textAlignment w:val="baseline"/>
        <w:rPr>
          <w:b/>
          <w:bCs/>
        </w:rPr>
      </w:pPr>
      <w:r>
        <w:rPr>
          <w:b/>
          <w:bCs/>
        </w:rPr>
      </w:r>
    </w:p>
    <w:p>
      <w:pPr>
        <w:pStyle w:val="Normal"/>
        <w:tabs>
          <w:tab w:val="clear" w:pos="720"/>
          <w:tab w:val="left" w:pos="142" w:leader="none"/>
        </w:tabs>
        <w:spacing w:lineRule="auto" w:line="276"/>
        <w:ind w:hanging="284" w:left="426" w:right="424"/>
        <w:jc w:val="both"/>
        <w:textAlignment w:val="baseline"/>
        <w:rPr/>
      </w:pPr>
      <w:r>
        <w:rPr/>
        <w:t>8.1. Paslaugų teikėjas, teikdamas paslaugas pagal sutartį, turi vadovautis šioje Techninėje specifikacijoje nustatytais saugumo reikalavimais ir užtikrinti nustatytų reikalavimų įgyvendinimą šiuose teisės aktuose:</w:t>
      </w:r>
    </w:p>
    <w:p>
      <w:pPr>
        <w:pStyle w:val="ListParagraph"/>
        <w:numPr>
          <w:ilvl w:val="2"/>
          <w:numId w:val="3"/>
        </w:numPr>
        <w:spacing w:lineRule="auto" w:line="276"/>
        <w:ind w:hanging="706" w:left="993" w:right="424"/>
        <w:jc w:val="both"/>
        <w:textAlignment w:val="baseline"/>
        <w:rPr/>
      </w:pPr>
      <w:r>
        <w:rPr/>
        <w:t>BDAR;</w:t>
      </w:r>
    </w:p>
    <w:p>
      <w:pPr>
        <w:pStyle w:val="ListParagraph"/>
        <w:numPr>
          <w:ilvl w:val="2"/>
          <w:numId w:val="4"/>
        </w:numPr>
        <w:tabs>
          <w:tab w:val="clear" w:pos="720"/>
          <w:tab w:val="left" w:pos="1170" w:leader="none"/>
        </w:tabs>
        <w:spacing w:lineRule="auto" w:line="276"/>
        <w:ind w:hanging="706" w:left="993" w:right="424"/>
        <w:jc w:val="both"/>
        <w:textAlignment w:val="baseline"/>
        <w:rPr/>
      </w:pPr>
      <w:r>
        <w:rPr/>
        <w:t>Apraše;</w:t>
      </w:r>
    </w:p>
    <w:p>
      <w:pPr>
        <w:pStyle w:val="ListParagraph"/>
        <w:numPr>
          <w:ilvl w:val="2"/>
          <w:numId w:val="4"/>
        </w:numPr>
        <w:tabs>
          <w:tab w:val="clear" w:pos="720"/>
          <w:tab w:val="left" w:pos="1170" w:leader="none"/>
        </w:tabs>
        <w:spacing w:lineRule="auto" w:line="276"/>
        <w:ind w:hanging="706" w:left="993" w:right="424"/>
        <w:jc w:val="both"/>
        <w:textAlignment w:val="baseline"/>
        <w:rPr/>
      </w:pPr>
      <w:r>
        <w:rPr/>
        <w:t>kituose Europos Sąjungos ir Lietuvos Respublikos teisės aktuose, reglamentuojančiuose  informacinių išteklių ir duomenų saugą.</w:t>
      </w:r>
    </w:p>
    <w:p>
      <w:pPr>
        <w:pStyle w:val="ListParagraph"/>
        <w:tabs>
          <w:tab w:val="clear" w:pos="720"/>
          <w:tab w:val="left" w:pos="426" w:leader="none"/>
          <w:tab w:val="left" w:pos="1170" w:leader="none"/>
        </w:tabs>
        <w:spacing w:lineRule="auto" w:line="276"/>
        <w:ind w:hanging="284" w:left="426" w:right="424"/>
        <w:jc w:val="both"/>
        <w:textAlignment w:val="baseline"/>
        <w:rPr/>
      </w:pPr>
      <w:r>
        <w:rPr/>
        <w:t>8.2. Įsigaliojus naujiems Europos Sąjungos ar Lietuvos Respublikos teisės aktams, ar jų pakeitimams, susijusiems su paslaugų vykdymu, Paslaugų teikėjas privalo vykdyti tokių teisės aktų nuostatas nuo jų įsigaliojimo datos. Todėl kiekviena šioje Techninėje specifikacijoje nurodyta reikalavimų nuostata, neatitinkanti įsigaliojusio naujojo Europos Sąjungos ar Lietuvos Respublikos teisės akto ar jo pakeitimo, susijusio su paslaugomis, nuo tokio naujojo teisės akto ar jo pakeitimo įsigaliojimo datos netaikoma, o vietoj jos taikoma įsigaliojusio naujojo Europos Sąjungos ar Lietuvos Respublikos teisės akto ar jo pakeitimo, susijusi su teikiamomis paslaugomis, nuostata.</w:t>
      </w:r>
    </w:p>
    <w:p>
      <w:pPr>
        <w:pStyle w:val="ListParagraph"/>
        <w:numPr>
          <w:ilvl w:val="1"/>
          <w:numId w:val="7"/>
        </w:numPr>
        <w:spacing w:lineRule="auto" w:line="276"/>
        <w:ind w:hanging="540" w:left="720" w:right="424"/>
        <w:jc w:val="both"/>
        <w:textAlignment w:val="baseline"/>
        <w:rPr/>
      </w:pPr>
      <w:r>
        <w:rPr/>
        <w:t>Prieš pradėdami teikti paslaugas pagal sutartį Paslaugų teikėjo darbuotojai ar Paslaugų teikėjo kiti Sutarties vykdymui pasitelkiami asmenys (subtiekėjai ir kitais pagrindais pasitelkiami ūkio subjektai ir jų darbuotojai ir pan.) (toliau – pasitelkiamas asmuo) privalės pasirašyti Konfidencialumo pasižadėjimus.</w:t>
      </w:r>
    </w:p>
    <w:p>
      <w:pPr>
        <w:pStyle w:val="Normal"/>
        <w:numPr>
          <w:ilvl w:val="1"/>
          <w:numId w:val="7"/>
        </w:numPr>
        <w:spacing w:lineRule="auto" w:line="276"/>
        <w:ind w:hanging="425" w:left="567" w:right="424"/>
        <w:jc w:val="both"/>
        <w:textAlignment w:val="baseline"/>
        <w:rPr/>
      </w:pPr>
      <w:r>
        <w:rPr/>
        <w:t xml:space="preserve">Paslaugos vykdymui Paslaugų teikėjo ar pasitelkiamo asmens darbuotojams prieiga prie Užsakovo informacinių išteklių suteikiama tik tokios apimties, kokios reikia Paslaugos vykdymui užtikrinti. Paslaugų teikėjas, pasirašydamas Sutartį, patvirtina, kad Užsakovui yra nurodęs visus pasitelkiamus asmenis Sutarties vykdymui. Pasitelkiamiems asmenims prieiga prie Užsakovo informacinių išteklių suteikiama, jei Paslaugų teikėjas apie pasitelkiamus asmenis pranešė Užsakovui Sutarties Bendrųjų sąlygų nustatyta tvarka ir jie yra nurodyti Sutartyje ar jos pakeitimuose. </w:t>
      </w:r>
    </w:p>
    <w:p>
      <w:pPr>
        <w:pStyle w:val="Normal"/>
        <w:numPr>
          <w:ilvl w:val="1"/>
          <w:numId w:val="7"/>
        </w:numPr>
        <w:spacing w:lineRule="auto" w:line="276"/>
        <w:ind w:hanging="425" w:left="567" w:right="424"/>
        <w:jc w:val="both"/>
        <w:textAlignment w:val="baseline"/>
        <w:rPr/>
      </w:pPr>
      <w:r>
        <w:rPr/>
        <w:t xml:space="preserve">Jei teikiant paslaugas pagal sutartį yra būtina nuotolinė prieiga prie Sistemų ir kad konkrečiam Paslaugų teikėjo ar pasitelkiamo asmens darbuotojui būtų suteikiami prisijungimo duomenys, Paslaugų teikėjas ar pasitelkiamas asmuo prieš atliekant tam tikrus informacinės sistemos kūrimo ir vystymo darbus pagal sutartį privalo pateikti Užsakovui darbuotojo(-ų), atliksiančio(-ų) informacinės sistemos kūrimo arba vystymo darbus, duomenis (vardą, pavardę, telefono ryšio numerį ir(ar) elektroninio pašto adresą). Paslaugų teikėjas privalo užtikrinti, kad prie  Užsakovo informacinės sistemos jungtųsi tik tie darbuotojai, apie kuriuos Paslaugų teikėjas ar pasitelkiamo asmens pranešė Užsakovui, nesuteikiant prieigos kitiems Paslaugų teikėjo ar pasitelkiamo asmens darbuotojams ar tretiesiems asmenims. Prisijungimo duomenys nurodytiems Paslaugų teikėjo ar pasitelkiamo asmens darbuotojams pateikiami asmeniškai ar elektroniniu paštu.  </w:t>
      </w:r>
    </w:p>
    <w:p>
      <w:pPr>
        <w:pStyle w:val="Normal"/>
        <w:numPr>
          <w:ilvl w:val="1"/>
          <w:numId w:val="7"/>
        </w:numPr>
        <w:spacing w:lineRule="auto" w:line="276"/>
        <w:ind w:hanging="567" w:left="567" w:right="424"/>
        <w:jc w:val="both"/>
        <w:textAlignment w:val="baseline"/>
        <w:rPr/>
      </w:pPr>
      <w:r>
        <w:rPr/>
        <w:t xml:space="preserve">Paslaugų teikėjui nutraukus darbo santykius su paskirtu vykdyti sutartį darbuotoju, Paslaugų teikėjas ar pasitelkiamas asmuo nedelsiant turi informuoti apie tai Užsakovą, kuris nedelsiant panaikina nurodyto darbuotojo naudotojo vardą ir slaptažodį ir (arba) užblokuoja prieigą prie Užsakovo informacinių išteklių. </w:t>
      </w:r>
    </w:p>
    <w:p>
      <w:pPr>
        <w:pStyle w:val="Normal"/>
        <w:numPr>
          <w:ilvl w:val="1"/>
          <w:numId w:val="7"/>
        </w:numPr>
        <w:spacing w:lineRule="auto" w:line="276"/>
        <w:ind w:hanging="567" w:left="567" w:right="424"/>
        <w:jc w:val="both"/>
        <w:textAlignment w:val="baseline"/>
        <w:rPr/>
      </w:pPr>
      <w:r>
        <w:rPr/>
        <w:t>Paslaugų teikėjo ar pasitelkiamo asmens darbuotojui suteiktas naudotojo vardas nekeičiamas ir negali būti suteiktas kitam Paslaugų teikėjo ar pasitelkiamo asmens paskirtam darbuotojui.</w:t>
      </w:r>
    </w:p>
    <w:p>
      <w:pPr>
        <w:pStyle w:val="Normal"/>
        <w:numPr>
          <w:ilvl w:val="1"/>
          <w:numId w:val="7"/>
        </w:numPr>
        <w:spacing w:lineRule="auto" w:line="276"/>
        <w:ind w:hanging="567" w:left="567" w:right="424"/>
        <w:jc w:val="both"/>
        <w:textAlignment w:val="baseline"/>
        <w:rPr/>
      </w:pPr>
      <w:r>
        <w:rPr/>
        <w:t>Paslaugų teikėjui ar pasitelkiamam asmeniui viešai neskelbtina informacija teikiama tik tokios apimties, kuri būtina sutarčiai vykdyti. Paslaugų teikėjas ar pasitelkiamas asmuo turi imtis visų teisinių, techninių ir organizacinių priemonių iš Užsakovo gautai informacijai apsaugoti.</w:t>
      </w:r>
    </w:p>
    <w:p>
      <w:pPr>
        <w:pStyle w:val="ListParagraph"/>
        <w:widowControl/>
        <w:numPr>
          <w:ilvl w:val="1"/>
          <w:numId w:val="7"/>
        </w:numPr>
        <w:tabs>
          <w:tab w:val="clear" w:pos="720"/>
          <w:tab w:val="left" w:pos="426" w:leader="none"/>
          <w:tab w:val="left" w:pos="9498" w:leader="none"/>
        </w:tabs>
        <w:spacing w:lineRule="auto" w:line="271" w:before="0" w:after="0"/>
        <w:ind w:hanging="720" w:left="720" w:right="424"/>
        <w:contextualSpacing/>
        <w:jc w:val="both"/>
        <w:rPr/>
      </w:pPr>
      <w:r>
        <w:rPr/>
        <w:t>Paslaugų teikėjas privalo pranešti Užsakovui apie visus didelius kibernetinius incidentus ir (ar) kitus incidentus, susijusius su Sistemomis (toliau – kibernetinis incidentas), apie kuriuos Paslaugų teikėją informavo pasitelkiamas asmuo ar kurie Paslaugų teikėjui tapo žinomi jam vykdant Sutartį, nedelsdamas, bet ne vėliau kaip per 8 (aštuonias) valandas nuo sužinojimo apie kibernetinį incidentą momento, nurodydamas kibernetinio incidento aplinkybes (data ir laikas, kada kibernetinis incidentas įvyko ar buvo nustatytas, aprašytas kibernetinio incidento pobūdis, tikėtinos kibernetinio incidento pasekmės, priemonės, kurių ėmėsi Paslaugų teikėjas ar siūloma imtis, kad būtų pašalintas kibernetinis incidentas, taip pat nurodomas kontaktinis asmuo, galintis suteikti daugiau informacijos, vardas, pavardė ir kontaktiniai duomenys).</w:t>
      </w:r>
    </w:p>
    <w:p>
      <w:pPr>
        <w:pStyle w:val="ListParagraph"/>
        <w:widowControl/>
        <w:numPr>
          <w:ilvl w:val="1"/>
          <w:numId w:val="7"/>
        </w:numPr>
        <w:tabs>
          <w:tab w:val="clear" w:pos="720"/>
          <w:tab w:val="left" w:pos="426" w:leader="none"/>
          <w:tab w:val="left" w:pos="9498" w:leader="none"/>
        </w:tabs>
        <w:spacing w:lineRule="auto" w:line="271" w:before="0" w:after="0"/>
        <w:ind w:hanging="720" w:left="720" w:right="424"/>
        <w:contextualSpacing/>
        <w:jc w:val="both"/>
        <w:rPr/>
      </w:pPr>
      <w:r>
        <w:rPr>
          <w:bCs/>
        </w:rPr>
        <w:t>Jeigu visos informacijos apie kibernetinį incidentą neįmanoma pateikti per Techninės specifikacijos 8.9 papunktyje nurodytą terminą ir (arba) atsiranda poreikis Užsakovui pateikti papildomą informaciją, Paslaugų teikėjas privalo nedelsdamas, tačiau ne vėliau nei per 8 (aštuonias) darbo valandas nuo naujos informacijos sužinojimo momento, pateikti papildomą pranešimą Užsakovui nurodydamas visą trūkstamą informaciją.</w:t>
      </w:r>
    </w:p>
    <w:p>
      <w:pPr>
        <w:pStyle w:val="ListParagraph"/>
        <w:widowControl/>
        <w:numPr>
          <w:ilvl w:val="1"/>
          <w:numId w:val="7"/>
        </w:numPr>
        <w:tabs>
          <w:tab w:val="clear" w:pos="720"/>
          <w:tab w:val="left" w:pos="426" w:leader="none"/>
          <w:tab w:val="left" w:pos="9498" w:leader="none"/>
        </w:tabs>
        <w:spacing w:lineRule="auto" w:line="271" w:before="0" w:after="0"/>
        <w:ind w:hanging="720" w:left="720" w:right="424"/>
        <w:contextualSpacing/>
        <w:jc w:val="both"/>
        <w:rPr/>
      </w:pPr>
      <w:r>
        <w:rPr/>
        <w:t>Paslaugų teikėjas privalo parengti ir pateikti Užsakovui kibernetinio incidento tyrimo ataskaitą bei kitą susijusią dokumentaciją per 10 (dešimt) darbo dienų nuo kibernetinio incidento nustatymo arba per kitą terminą, dėl kurio abi šalys susitaria raštu.</w:t>
      </w:r>
    </w:p>
    <w:p>
      <w:pPr>
        <w:pStyle w:val="ListParagraph"/>
        <w:numPr>
          <w:ilvl w:val="1"/>
          <w:numId w:val="7"/>
        </w:numPr>
        <w:spacing w:lineRule="auto" w:line="271"/>
        <w:ind w:hanging="720" w:left="720" w:right="424"/>
        <w:jc w:val="both"/>
        <w:rPr/>
      </w:pPr>
      <w:r>
        <w:rPr/>
        <w:t>Nustačius kibernetinį incidentą, Paslaugų teikėjas įsipareigoja nedelsdamas imtis visų būtinų techninių ir organizacinių priemonių, siekiant suvaldyti kibernetinį incidentą ir pašalinti jo pasekmes.</w:t>
      </w:r>
    </w:p>
    <w:p>
      <w:pPr>
        <w:pStyle w:val="ListParagraph"/>
        <w:numPr>
          <w:ilvl w:val="1"/>
          <w:numId w:val="7"/>
        </w:numPr>
        <w:spacing w:lineRule="auto" w:line="271"/>
        <w:ind w:hanging="720" w:left="720" w:right="424"/>
        <w:jc w:val="both"/>
        <w:rPr/>
      </w:pPr>
      <w:r>
        <w:rPr/>
        <w:t>Paslaugų teikėjas įsipareigoja bendradarbiauti su Užsakovu ir, jei reikia, su trečiosiomis šalimis (pvz., kibernetinio saugumo, teisėsaugos ir pan. institucijomis), siekiant suvaldyti kibernetinį incidentą, ištirti ir nustatyti jo priežastis ir užtikrinti kibernetinio incidento pasekmių pašalinimą.</w:t>
      </w:r>
    </w:p>
    <w:p>
      <w:pPr>
        <w:pStyle w:val="ListParagraph"/>
        <w:widowControl/>
        <w:numPr>
          <w:ilvl w:val="1"/>
          <w:numId w:val="7"/>
        </w:numPr>
        <w:tabs>
          <w:tab w:val="clear" w:pos="720"/>
          <w:tab w:val="left" w:pos="426" w:leader="none"/>
        </w:tabs>
        <w:spacing w:lineRule="auto" w:line="271" w:before="0" w:after="0"/>
        <w:ind w:hanging="720" w:left="720" w:right="424"/>
        <w:contextualSpacing/>
        <w:jc w:val="both"/>
        <w:rPr/>
      </w:pPr>
      <w:r>
        <w:rPr>
          <w:rFonts w:eastAsia="Calibri" w:eastAsiaTheme="minorHAnsi"/>
        </w:rPr>
        <w:t>Kibernetinio incidento pasekmių šalinimo veiksmai laikomi baigtais, kai Užsakovas raštu patvirtina Paslaugų teikėjui, kad kibernetinio incidento poveikis visiškai pašalintas.</w:t>
      </w:r>
    </w:p>
    <w:p>
      <w:pPr>
        <w:pStyle w:val="ListParagraph"/>
        <w:numPr>
          <w:ilvl w:val="1"/>
          <w:numId w:val="7"/>
        </w:numPr>
        <w:tabs>
          <w:tab w:val="clear" w:pos="720"/>
          <w:tab w:val="left" w:pos="450" w:leader="none"/>
          <w:tab w:val="left" w:pos="1170" w:leader="none"/>
        </w:tabs>
        <w:spacing w:lineRule="auto" w:line="276"/>
        <w:ind w:hanging="720" w:left="720" w:right="424"/>
        <w:jc w:val="both"/>
        <w:textAlignment w:val="baseline"/>
        <w:rPr/>
      </w:pPr>
      <w:r>
        <w:rPr/>
        <w:t>Paslaugų teikėjas įsipareigoja sudaryti sąlygas Užsakovui arba jo įgaliotiems paslaugų teikėjams atlikti Paslaugų teikėjo atitikties Aprašui auditą (įskaitant neplaninį) sutarties vykdymo laikotarpiu ar įvykus dideliam kibernetiniam incidentui.</w:t>
      </w:r>
    </w:p>
    <w:p>
      <w:pPr>
        <w:pStyle w:val="ListParagraph"/>
        <w:widowControl/>
        <w:numPr>
          <w:ilvl w:val="1"/>
          <w:numId w:val="7"/>
        </w:numPr>
        <w:tabs>
          <w:tab w:val="clear" w:pos="720"/>
          <w:tab w:val="left" w:pos="426" w:leader="none"/>
          <w:tab w:val="left" w:pos="567" w:leader="none"/>
        </w:tabs>
        <w:spacing w:lineRule="auto" w:line="271" w:before="0" w:after="0"/>
        <w:ind w:hanging="720" w:left="720" w:right="424"/>
        <w:contextualSpacing/>
        <w:jc w:val="both"/>
        <w:rPr/>
      </w:pPr>
      <w:r>
        <w:rPr/>
        <w:t xml:space="preserve">Audito metu nustatyti trūkumai ar neatitikimai turi būti pašalinti Paslaugų teikėjo </w:t>
      </w:r>
      <w:bookmarkStart w:id="0" w:name="_Hlk216964331"/>
      <w:r>
        <w:rPr/>
        <w:t xml:space="preserve">ar pasitelkiamo asmens, jeigu toks būtų pasitelktas, </w:t>
      </w:r>
      <w:bookmarkEnd w:id="0"/>
      <w:r>
        <w:rPr/>
        <w:t xml:space="preserve">parengtais veiksmais, suderintais ir patvirtintais su Užsakovu, per terminus, suderintus su Užsakovu. Užsakovas turi teisę atmesti Paslaugų teikėjo ar pasitelkiamo asmens, jeigu toks būtų pasitelktas, pasiūlytus veiksmus, jeigu jie nelaikomi tinkamais ar pakankamais trūkumams ar neatitikimams pašalinti. Paslaugų teikėjas privalo bendradarbiauti su Užsakovu, kad būtų užtikrintas audito metu nustatytų trūkumų ar neatitikimų šalinimas. </w:t>
      </w:r>
    </w:p>
    <w:p>
      <w:pPr>
        <w:pStyle w:val="ListParagraph"/>
        <w:widowControl/>
        <w:numPr>
          <w:ilvl w:val="1"/>
          <w:numId w:val="7"/>
        </w:numPr>
        <w:tabs>
          <w:tab w:val="clear" w:pos="720"/>
          <w:tab w:val="left" w:pos="426" w:leader="none"/>
          <w:tab w:val="left" w:pos="567" w:leader="none"/>
          <w:tab w:val="left" w:pos="709" w:leader="none"/>
          <w:tab w:val="left" w:pos="1170" w:leader="none"/>
        </w:tabs>
        <w:spacing w:lineRule="auto" w:line="276" w:before="0" w:after="0"/>
        <w:ind w:hanging="567" w:left="567" w:right="424"/>
        <w:contextualSpacing/>
        <w:jc w:val="both"/>
        <w:textAlignment w:val="baseline"/>
        <w:rPr/>
      </w:pPr>
      <w:r>
        <w:rPr/>
        <w:t xml:space="preserve">Jei dėl objektyvių priežasčių audito metu nustatytų trūkumų ar neatitikimų neįmanoma pašalinti per suderintus terminus, Paslaugų teikėjas nedelsdamas privalo motyvuotai raštu informuoti Užsakovą apie trūkumų ar neatitikimų nepašalinimo laiku priežastis bei nurodo naujus planuojamus trūkumų ar neatitikimų pašalinimo terminus. </w:t>
      </w:r>
    </w:p>
    <w:p>
      <w:pPr>
        <w:pStyle w:val="ListParagraph"/>
        <w:widowControl/>
        <w:numPr>
          <w:ilvl w:val="1"/>
          <w:numId w:val="7"/>
        </w:numPr>
        <w:tabs>
          <w:tab w:val="clear" w:pos="720"/>
          <w:tab w:val="left" w:pos="426" w:leader="none"/>
          <w:tab w:val="left" w:pos="567" w:leader="none"/>
          <w:tab w:val="left" w:pos="709" w:leader="none"/>
          <w:tab w:val="left" w:pos="1170" w:leader="none"/>
        </w:tabs>
        <w:spacing w:lineRule="auto" w:line="276" w:before="0" w:after="0"/>
        <w:ind w:hanging="567" w:left="567" w:right="424"/>
        <w:contextualSpacing/>
        <w:jc w:val="both"/>
        <w:textAlignment w:val="baseline"/>
        <w:rPr/>
      </w:pPr>
      <w:r>
        <w:rPr/>
        <w:t xml:space="preserve">Paslaugų teikėjas įsipareigoja užtikrinti spragų, keliančių riziką Sistemoms valdymą. Paslaugų teikėjas įsipareigoja informuoti Užsakovą apie identifikuotas spragas, keliančias riziką Sistemoms, ne vėliau kaip per 24 (dvidešimt keturias) valandas nuo spragų nustatymo, o apie spragų šalinimo eigą – periodiškai, bet ne rečiau kaip kartą per 7 (septynias) kalendorines dienas, iki visiško spragų pašalinimo arba per kitą terminą, dėl kurio abi šalys susitaria raštu. Spragos turi būti pašalintos Paslaugų teikėjo ar pasitelkiamo asmens, jeigu toks būtų pasitelktas, parengtais veiksmais, suderintais ir patvirtintais su Užsakovu, per terminus, suderintus su Užsakovu. </w:t>
      </w:r>
    </w:p>
    <w:p>
      <w:pPr>
        <w:pStyle w:val="ListParagraph"/>
        <w:widowControl/>
        <w:numPr>
          <w:ilvl w:val="1"/>
          <w:numId w:val="7"/>
        </w:numPr>
        <w:tabs>
          <w:tab w:val="clear" w:pos="720"/>
          <w:tab w:val="left" w:pos="426" w:leader="none"/>
          <w:tab w:val="left" w:pos="567" w:leader="none"/>
          <w:tab w:val="left" w:pos="709" w:leader="none"/>
          <w:tab w:val="left" w:pos="1170" w:leader="none"/>
        </w:tabs>
        <w:spacing w:lineRule="auto" w:line="276" w:before="0" w:after="0"/>
        <w:ind w:hanging="425" w:left="567" w:right="424"/>
        <w:contextualSpacing/>
        <w:jc w:val="both"/>
        <w:textAlignment w:val="baseline"/>
        <w:rPr/>
      </w:pPr>
      <w:r>
        <w:rPr/>
        <w:t>Jeigu dėl objektyvių priežasčių spragos negali būti pašalintos per suderintus terminus, Paslaugų teikėjas nedelsdamas privalo motyvuotai raštu informuoti Užsakovą apie spragų nepašalinimo laiku priežastis bei nurodo naujus planuojamus spragų pašalinimo terminus arba alternatyvias priemones, užtikrinančias Sistemų saugumą.</w:t>
      </w:r>
    </w:p>
    <w:p>
      <w:pPr>
        <w:pStyle w:val="Normal"/>
        <w:numPr>
          <w:ilvl w:val="1"/>
          <w:numId w:val="7"/>
        </w:numPr>
        <w:tabs>
          <w:tab w:val="clear" w:pos="720"/>
          <w:tab w:val="left" w:pos="426" w:leader="none"/>
          <w:tab w:val="left" w:pos="709" w:leader="none"/>
        </w:tabs>
        <w:spacing w:lineRule="auto" w:line="276"/>
        <w:ind w:hanging="425" w:left="567" w:right="424"/>
        <w:jc w:val="both"/>
        <w:textAlignment w:val="baseline"/>
        <w:rPr/>
      </w:pPr>
      <w:r>
        <w:rPr/>
        <w:t>Visi Techninės specifikacijos numatyti saugumo reikalavimai, taikomi Paslaugų teikėjui, yra taikomi ir pasitelkiamiems asmenims  ir jų darbuotojams.</w:t>
      </w:r>
    </w:p>
    <w:p>
      <w:pPr>
        <w:pStyle w:val="Normal"/>
        <w:numPr>
          <w:ilvl w:val="1"/>
          <w:numId w:val="7"/>
        </w:numPr>
        <w:tabs>
          <w:tab w:val="clear" w:pos="720"/>
          <w:tab w:val="left" w:pos="426" w:leader="none"/>
          <w:tab w:val="left" w:pos="709" w:leader="none"/>
        </w:tabs>
        <w:spacing w:lineRule="auto" w:line="276"/>
        <w:ind w:hanging="425" w:left="567" w:right="424"/>
        <w:jc w:val="both"/>
        <w:textAlignment w:val="baseline"/>
        <w:rPr/>
      </w:pPr>
      <w:r>
        <w:rPr>
          <w:color w:val="000000"/>
        </w:rPr>
        <w:t>Paslaugų teikėjas turi informuoti Užsakovą prieš pradedant Sistemų kūrimo ar vystymo darbus pagal sutartį, jei nuotolinė prieiga atliekant Sistemų kūrimo ar vystymo darbus pagal sutartį bus vykdoma iš trečiosios valstybės, t. y. ne Europos ekonominės erdvės valstybės.</w:t>
      </w:r>
    </w:p>
    <w:p>
      <w:pPr>
        <w:pStyle w:val="Normal"/>
        <w:jc w:val="center"/>
        <w:rPr/>
      </w:pPr>
      <w:r>
        <w:rPr/>
        <w:t>________________________</w:t>
      </w:r>
    </w:p>
    <w:sectPr>
      <w:headerReference w:type="even" r:id="rId3"/>
      <w:headerReference w:type="default" r:id="rId4"/>
      <w:headerReference w:type="first" r:id="rId5"/>
      <w:footerReference w:type="even" r:id="rId6"/>
      <w:footerReference w:type="default" r:id="rId7"/>
      <w:footerReference w:type="first" r:id="rId8"/>
      <w:type w:val="nextPage"/>
      <w:pgSz w:w="11906" w:h="16838"/>
      <w:pgMar w:left="1701" w:right="567" w:gutter="0" w:header="567" w:top="1134" w:footer="284" w:bottom="567"/>
      <w:pgNumType w:fmt="decimal"/>
      <w:formProt w:val="false"/>
      <w:textDirection w:val="lrTb"/>
      <w:docGrid w:type="default" w:linePitch="299"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Segoe UI">
    <w:charset w:val="00"/>
    <w:family w:val="swiss"/>
    <w:pitch w:val="variable"/>
  </w:font>
  <w:font w:name="Cambria">
    <w:charset w:val="00"/>
    <w:family w:val="roman"/>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596946881"/>
    </w:sdtPr>
    <w:sdtContent>
      <w:p>
        <w:pPr>
          <w:pStyle w:val="Footer"/>
          <w:jc w:val="center"/>
          <w:rPr/>
        </w:pPr>
        <w:r>
          <w:rPr/>
          <w:fldChar w:fldCharType="begin"/>
        </w:r>
        <w:r>
          <w:rPr/>
          <w:instrText xml:space="preserve"> PAGE </w:instrText>
        </w:r>
        <w:r>
          <w:rPr/>
          <w:fldChar w:fldCharType="separate"/>
        </w:r>
        <w:r>
          <w:rPr/>
          <w:t>7</w:t>
        </w:r>
        <w:r>
          <w:rPr/>
          <w:fldChar w:fldCharType="end"/>
        </w:r>
      </w:p>
    </w:sdtContent>
  </w:sdt>
  <w:p>
    <w:pPr>
      <w:pStyle w:val="BodyText"/>
      <w:spacing w:lineRule="auto" w:line="7"/>
      <w:rPr>
        <w:sz w:val="20"/>
      </w:rPr>
    </w:pPr>
    <w:r>
      <w:rPr>
        <w:sz w:val="20"/>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596946881"/>
    </w:sdtPr>
    <w:sdtContent>
      <w:p>
        <w:pPr>
          <w:pStyle w:val="Footer"/>
          <w:jc w:val="center"/>
          <w:rPr/>
        </w:pPr>
        <w:r>
          <w:rPr/>
          <w:fldChar w:fldCharType="begin"/>
        </w:r>
        <w:r>
          <w:rPr/>
          <w:instrText xml:space="preserve"> PAGE </w:instrText>
        </w:r>
        <w:r>
          <w:rPr/>
          <w:fldChar w:fldCharType="separate"/>
        </w:r>
        <w:r>
          <w:rPr/>
          <w:t>7</w:t>
        </w:r>
        <w:r>
          <w:rPr/>
          <w:fldChar w:fldCharType="end"/>
        </w:r>
      </w:p>
    </w:sdtContent>
  </w:sdt>
  <w:p>
    <w:pPr>
      <w:pStyle w:val="BodyText"/>
      <w:spacing w:lineRule="auto" w:line="7"/>
      <w:rPr>
        <w:sz w:val="20"/>
      </w:rPr>
    </w:pPr>
    <w:r>
      <w:rPr>
        <w:sz w:val="20"/>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sz w:val="20"/>
        <w:szCs w:val="20"/>
      </w:rPr>
    </w:pPr>
    <w:r>
      <w:rPr>
        <w:rFonts w:cs="Arial" w:ascii="Arial" w:hAnsi="Arial"/>
        <w:caps/>
        <w:sz w:val="20"/>
        <w:szCs w:val="20"/>
      </w:rPr>
      <w:t xml:space="preserve">specialiųjų skelbiamos apklausos sąlygų 1 priedas ,,techninė specifikacija“ </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sz w:val="20"/>
        <w:szCs w:val="20"/>
      </w:rPr>
    </w:pPr>
    <w:r>
      <w:rPr>
        <w:rFonts w:cs="Arial" w:ascii="Arial" w:hAnsi="Arial"/>
        <w:caps/>
        <w:sz w:val="20"/>
        <w:szCs w:val="20"/>
      </w:rPr>
      <w:t xml:space="preserve">specialiųjų skelbiamos apklausos sąlygų 1 priedas ,,techninė specifikacija“ </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5" w:hanging="248"/>
      </w:pPr>
      <w:rPr>
        <w:sz w:val="22"/>
        <w:spacing w:val="0"/>
        <w:i w:val="false"/>
        <w:b w:val="false"/>
        <w:szCs w:val="22"/>
        <w:iCs w:val="false"/>
        <w:bCs w:val="false"/>
        <w:w w:val="100"/>
        <w:rFonts w:ascii="Arial" w:hAnsi="Arial" w:eastAsia="Arial" w:cs="Arial"/>
        <w:lang w:val="lt-LT" w:eastAsia="en-US" w:bidi="ar-SA"/>
      </w:rPr>
    </w:lvl>
    <w:lvl w:ilvl="1">
      <w:start w:val="1"/>
      <w:numFmt w:val="decimal"/>
      <w:lvlText w:val="%1.%2."/>
      <w:lvlJc w:val="left"/>
      <w:pPr>
        <w:tabs>
          <w:tab w:val="num" w:pos="0"/>
        </w:tabs>
        <w:ind w:left="611" w:hanging="431"/>
      </w:pPr>
      <w:rPr>
        <w:sz w:val="22"/>
        <w:spacing w:val="0"/>
        <w:i w:val="false"/>
        <w:b w:val="false"/>
        <w:szCs w:val="22"/>
        <w:iCs w:val="false"/>
        <w:bCs w:val="false"/>
        <w:w w:val="100"/>
        <w:rFonts w:ascii="Arial" w:hAnsi="Arial" w:eastAsia="Arial" w:cs="Arial"/>
        <w:lang w:val="lt-LT" w:eastAsia="en-US" w:bidi="ar-SA"/>
      </w:rPr>
    </w:lvl>
    <w:lvl w:ilvl="2">
      <w:start w:val="1"/>
      <w:numFmt w:val="decimal"/>
      <w:lvlText w:val="%1.%2.%3"/>
      <w:lvlJc w:val="left"/>
      <w:pPr>
        <w:tabs>
          <w:tab w:val="num" w:pos="0"/>
        </w:tabs>
        <w:ind w:left="670" w:hanging="553"/>
      </w:pPr>
      <w:rPr>
        <w:sz w:val="22"/>
        <w:spacing w:val="0"/>
        <w:i w:val="false"/>
        <w:b w:val="false"/>
        <w:szCs w:val="22"/>
        <w:iCs w:val="false"/>
        <w:bCs w:val="false"/>
        <w:w w:val="100"/>
        <w:rFonts w:ascii="Arial" w:hAnsi="Arial" w:eastAsia="Arial" w:cs="Arial"/>
        <w:lang w:val="lt-LT" w:eastAsia="en-US" w:bidi="ar-SA"/>
      </w:rPr>
    </w:lvl>
    <w:lvl w:ilvl="3">
      <w:start w:val="1"/>
      <w:numFmt w:val="decimal"/>
      <w:lvlText w:val="%1.%2.%3.%4"/>
      <w:lvlJc w:val="left"/>
      <w:pPr>
        <w:tabs>
          <w:tab w:val="num" w:pos="0"/>
        </w:tabs>
        <w:ind w:left="1224" w:hanging="735"/>
      </w:pPr>
      <w:rPr>
        <w:sz w:val="22"/>
        <w:spacing w:val="-3"/>
        <w:i w:val="false"/>
        <w:b/>
        <w:szCs w:val="22"/>
        <w:iCs w:val="false"/>
        <w:bCs/>
        <w:w w:val="100"/>
        <w:rFonts w:ascii="Arial" w:hAnsi="Arial" w:eastAsia="Arial" w:cs="Arial"/>
        <w:lang w:val="lt-LT" w:eastAsia="en-US" w:bidi="ar-SA"/>
      </w:rPr>
    </w:lvl>
    <w:lvl w:ilvl="4">
      <w:start w:val="0"/>
      <w:numFmt w:val="bullet"/>
      <w:lvlText w:val=""/>
      <w:lvlJc w:val="left"/>
      <w:pPr>
        <w:tabs>
          <w:tab w:val="num" w:pos="0"/>
        </w:tabs>
        <w:ind w:left="1220" w:hanging="735"/>
      </w:pPr>
      <w:rPr>
        <w:rFonts w:ascii="Symbol" w:hAnsi="Symbol" w:cs="Symbol" w:hint="default"/>
        <w:lang w:val="lt-LT" w:eastAsia="en-US" w:bidi="ar-SA"/>
      </w:rPr>
    </w:lvl>
    <w:lvl w:ilvl="5">
      <w:start w:val="0"/>
      <w:numFmt w:val="bullet"/>
      <w:lvlText w:val=""/>
      <w:lvlJc w:val="left"/>
      <w:pPr>
        <w:tabs>
          <w:tab w:val="num" w:pos="0"/>
        </w:tabs>
        <w:ind w:left="2741" w:hanging="735"/>
      </w:pPr>
      <w:rPr>
        <w:rFonts w:ascii="Symbol" w:hAnsi="Symbol" w:cs="Symbol" w:hint="default"/>
        <w:lang w:val="lt-LT" w:eastAsia="en-US" w:bidi="ar-SA"/>
      </w:rPr>
    </w:lvl>
    <w:lvl w:ilvl="6">
      <w:start w:val="0"/>
      <w:numFmt w:val="bullet"/>
      <w:lvlText w:val=""/>
      <w:lvlJc w:val="left"/>
      <w:pPr>
        <w:tabs>
          <w:tab w:val="num" w:pos="0"/>
        </w:tabs>
        <w:ind w:left="4262" w:hanging="735"/>
      </w:pPr>
      <w:rPr>
        <w:rFonts w:ascii="Symbol" w:hAnsi="Symbol" w:cs="Symbol" w:hint="default"/>
        <w:lang w:val="lt-LT" w:eastAsia="en-US" w:bidi="ar-SA"/>
      </w:rPr>
    </w:lvl>
    <w:lvl w:ilvl="7">
      <w:start w:val="0"/>
      <w:numFmt w:val="bullet"/>
      <w:lvlText w:val=""/>
      <w:lvlJc w:val="left"/>
      <w:pPr>
        <w:tabs>
          <w:tab w:val="num" w:pos="0"/>
        </w:tabs>
        <w:ind w:left="5783" w:hanging="735"/>
      </w:pPr>
      <w:rPr>
        <w:rFonts w:ascii="Symbol" w:hAnsi="Symbol" w:cs="Symbol" w:hint="default"/>
        <w:lang w:val="lt-LT" w:eastAsia="en-US" w:bidi="ar-SA"/>
      </w:rPr>
    </w:lvl>
    <w:lvl w:ilvl="8">
      <w:start w:val="0"/>
      <w:numFmt w:val="bullet"/>
      <w:lvlText w:val=""/>
      <w:lvlJc w:val="left"/>
      <w:pPr>
        <w:tabs>
          <w:tab w:val="num" w:pos="0"/>
        </w:tabs>
        <w:ind w:left="7304" w:hanging="735"/>
      </w:pPr>
      <w:rPr>
        <w:rFonts w:ascii="Symbol" w:hAnsi="Symbol" w:cs="Symbol" w:hint="default"/>
        <w:lang w:val="lt-LT" w:eastAsia="en-US" w:bidi="ar-SA"/>
      </w:rPr>
    </w:lvl>
  </w:abstractNum>
  <w:abstractNum w:abstractNumId="2">
    <w:lvl w:ilvl="0">
      <w:start w:val="5"/>
      <w:numFmt w:val="decimal"/>
      <w:lvlText w:val="%1."/>
      <w:lvlJc w:val="left"/>
      <w:pPr>
        <w:tabs>
          <w:tab w:val="num" w:pos="0"/>
        </w:tabs>
        <w:ind w:left="540" w:hanging="540"/>
      </w:pPr>
      <w:rPr/>
    </w:lvl>
    <w:lvl w:ilvl="1">
      <w:start w:val="1"/>
      <w:numFmt w:val="decimal"/>
      <w:lvlText w:val="%1.%2."/>
      <w:lvlJc w:val="left"/>
      <w:pPr>
        <w:tabs>
          <w:tab w:val="num" w:pos="0"/>
        </w:tabs>
        <w:ind w:left="966" w:hanging="720"/>
      </w:pPr>
      <w:rPr>
        <w:b w:val="false"/>
        <w:bCs w:val="false"/>
      </w:rPr>
    </w:lvl>
    <w:lvl w:ilvl="2">
      <w:start w:val="1"/>
      <w:numFmt w:val="decimal"/>
      <w:lvlText w:val="%1.%2.%3."/>
      <w:lvlJc w:val="left"/>
      <w:pPr>
        <w:tabs>
          <w:tab w:val="num" w:pos="0"/>
        </w:tabs>
        <w:ind w:left="1212" w:hanging="720"/>
      </w:pPr>
      <w:rPr>
        <w:b w:val="false"/>
        <w:bCs w:val="false"/>
      </w:rPr>
    </w:lvl>
    <w:lvl w:ilvl="3">
      <w:start w:val="1"/>
      <w:numFmt w:val="decimal"/>
      <w:lvlText w:val="%1.%2.%3.%4."/>
      <w:lvlJc w:val="left"/>
      <w:pPr>
        <w:tabs>
          <w:tab w:val="num" w:pos="0"/>
        </w:tabs>
        <w:ind w:left="1818" w:hanging="1080"/>
      </w:pPr>
      <w:rPr/>
    </w:lvl>
    <w:lvl w:ilvl="4">
      <w:start w:val="1"/>
      <w:numFmt w:val="decimal"/>
      <w:lvlText w:val="%1.%2.%3.%4.%5."/>
      <w:lvlJc w:val="left"/>
      <w:pPr>
        <w:tabs>
          <w:tab w:val="num" w:pos="0"/>
        </w:tabs>
        <w:ind w:left="2064" w:hanging="1080"/>
      </w:pPr>
      <w:rPr/>
    </w:lvl>
    <w:lvl w:ilvl="5">
      <w:start w:val="1"/>
      <w:numFmt w:val="decimal"/>
      <w:lvlText w:val="%1.%2.%3.%4.%5.%6."/>
      <w:lvlJc w:val="left"/>
      <w:pPr>
        <w:tabs>
          <w:tab w:val="num" w:pos="0"/>
        </w:tabs>
        <w:ind w:left="2670" w:hanging="1440"/>
      </w:pPr>
      <w:rPr/>
    </w:lvl>
    <w:lvl w:ilvl="6">
      <w:start w:val="1"/>
      <w:numFmt w:val="decimal"/>
      <w:lvlText w:val="%1.%2.%3.%4.%5.%6.%7."/>
      <w:lvlJc w:val="left"/>
      <w:pPr>
        <w:tabs>
          <w:tab w:val="num" w:pos="0"/>
        </w:tabs>
        <w:ind w:left="2916" w:hanging="1440"/>
      </w:pPr>
      <w:rPr/>
    </w:lvl>
    <w:lvl w:ilvl="7">
      <w:start w:val="1"/>
      <w:numFmt w:val="decimal"/>
      <w:lvlText w:val="%1.%2.%3.%4.%5.%6.%7.%8."/>
      <w:lvlJc w:val="left"/>
      <w:pPr>
        <w:tabs>
          <w:tab w:val="num" w:pos="0"/>
        </w:tabs>
        <w:ind w:left="3522" w:hanging="1800"/>
      </w:pPr>
      <w:rPr/>
    </w:lvl>
    <w:lvl w:ilvl="8">
      <w:start w:val="1"/>
      <w:numFmt w:val="decimal"/>
      <w:lvlText w:val="%1.%2.%3.%4.%5.%6.%7.%8.%9."/>
      <w:lvlJc w:val="left"/>
      <w:pPr>
        <w:tabs>
          <w:tab w:val="num" w:pos="0"/>
        </w:tabs>
        <w:ind w:left="3768" w:hanging="1800"/>
      </w:pPr>
      <w:rPr/>
    </w:lvl>
  </w:abstractNum>
  <w:abstractNum w:abstractNumId="3">
    <w:lvl w:ilvl="0">
      <w:start w:val="8"/>
      <w:numFmt w:val="decimal"/>
      <w:lvlText w:val="%1"/>
      <w:lvlJc w:val="left"/>
      <w:pPr>
        <w:tabs>
          <w:tab w:val="num" w:pos="0"/>
        </w:tabs>
        <w:ind w:left="480" w:hanging="480"/>
      </w:pPr>
      <w:rPr/>
    </w:lvl>
    <w:lvl w:ilvl="1">
      <w:start w:val="1"/>
      <w:numFmt w:val="decimal"/>
      <w:lvlText w:val="%1.%2"/>
      <w:lvlJc w:val="left"/>
      <w:pPr>
        <w:tabs>
          <w:tab w:val="num" w:pos="0"/>
        </w:tabs>
        <w:ind w:left="519" w:hanging="480"/>
      </w:pPr>
      <w:rPr/>
    </w:lvl>
    <w:lvl w:ilvl="2">
      <w:start w:val="1"/>
      <w:numFmt w:val="decimal"/>
      <w:lvlText w:val="%1.%2.%3"/>
      <w:lvlJc w:val="left"/>
      <w:pPr>
        <w:tabs>
          <w:tab w:val="num" w:pos="0"/>
        </w:tabs>
        <w:ind w:left="798" w:hanging="720"/>
      </w:pPr>
      <w:rPr/>
    </w:lvl>
    <w:lvl w:ilvl="3">
      <w:start w:val="1"/>
      <w:numFmt w:val="decimal"/>
      <w:lvlText w:val="%1.%2.%3.%4"/>
      <w:lvlJc w:val="left"/>
      <w:pPr>
        <w:tabs>
          <w:tab w:val="num" w:pos="0"/>
        </w:tabs>
        <w:ind w:left="837" w:hanging="720"/>
      </w:pPr>
      <w:rPr/>
    </w:lvl>
    <w:lvl w:ilvl="4">
      <w:start w:val="1"/>
      <w:numFmt w:val="decimal"/>
      <w:lvlText w:val="%1.%2.%3.%4.%5"/>
      <w:lvlJc w:val="left"/>
      <w:pPr>
        <w:tabs>
          <w:tab w:val="num" w:pos="0"/>
        </w:tabs>
        <w:ind w:left="1236" w:hanging="1080"/>
      </w:pPr>
      <w:rPr/>
    </w:lvl>
    <w:lvl w:ilvl="5">
      <w:start w:val="1"/>
      <w:numFmt w:val="decimal"/>
      <w:lvlText w:val="%1.%2.%3.%4.%5.%6"/>
      <w:lvlJc w:val="left"/>
      <w:pPr>
        <w:tabs>
          <w:tab w:val="num" w:pos="0"/>
        </w:tabs>
        <w:ind w:left="1275" w:hanging="1080"/>
      </w:pPr>
      <w:rPr/>
    </w:lvl>
    <w:lvl w:ilvl="6">
      <w:start w:val="1"/>
      <w:numFmt w:val="decimal"/>
      <w:lvlText w:val="%1.%2.%3.%4.%5.%6.%7"/>
      <w:lvlJc w:val="left"/>
      <w:pPr>
        <w:tabs>
          <w:tab w:val="num" w:pos="0"/>
        </w:tabs>
        <w:ind w:left="1674" w:hanging="1440"/>
      </w:pPr>
      <w:rPr/>
    </w:lvl>
    <w:lvl w:ilvl="7">
      <w:start w:val="1"/>
      <w:numFmt w:val="decimal"/>
      <w:lvlText w:val="%1.%2.%3.%4.%5.%6.%7.%8"/>
      <w:lvlJc w:val="left"/>
      <w:pPr>
        <w:tabs>
          <w:tab w:val="num" w:pos="0"/>
        </w:tabs>
        <w:ind w:left="1713" w:hanging="1440"/>
      </w:pPr>
      <w:rPr/>
    </w:lvl>
    <w:lvl w:ilvl="8">
      <w:start w:val="1"/>
      <w:numFmt w:val="decimal"/>
      <w:lvlText w:val="%1.%2.%3.%4.%5.%6.%7.%8.%9"/>
      <w:lvlJc w:val="left"/>
      <w:pPr>
        <w:tabs>
          <w:tab w:val="num" w:pos="0"/>
        </w:tabs>
        <w:ind w:left="2112" w:hanging="1800"/>
      </w:pPr>
      <w:rPr/>
    </w:lvl>
  </w:abstractNum>
  <w:abstractNum w:abstractNumId="4">
    <w:lvl w:ilvl="0">
      <w:start w:val="8"/>
      <w:numFmt w:val="decimal"/>
      <w:lvlText w:val="%1."/>
      <w:lvlJc w:val="left"/>
      <w:pPr>
        <w:tabs>
          <w:tab w:val="num" w:pos="0"/>
        </w:tabs>
        <w:ind w:left="540" w:hanging="540"/>
      </w:pPr>
      <w:rPr/>
    </w:lvl>
    <w:lvl w:ilvl="1">
      <w:start w:val="1"/>
      <w:numFmt w:val="decimal"/>
      <w:lvlText w:val="%1.%2."/>
      <w:lvlJc w:val="left"/>
      <w:pPr>
        <w:tabs>
          <w:tab w:val="num" w:pos="0"/>
        </w:tabs>
        <w:ind w:left="759" w:hanging="720"/>
      </w:pPr>
      <w:rPr/>
    </w:lvl>
    <w:lvl w:ilvl="2">
      <w:start w:val="2"/>
      <w:numFmt w:val="decimal"/>
      <w:lvlText w:val="%1.%2.%3."/>
      <w:lvlJc w:val="left"/>
      <w:pPr>
        <w:tabs>
          <w:tab w:val="num" w:pos="0"/>
        </w:tabs>
        <w:ind w:left="798" w:hanging="720"/>
      </w:pPr>
      <w:rPr/>
    </w:lvl>
    <w:lvl w:ilvl="3">
      <w:start w:val="1"/>
      <w:numFmt w:val="decimal"/>
      <w:lvlText w:val="%1.%2.%3.%4."/>
      <w:lvlJc w:val="left"/>
      <w:pPr>
        <w:tabs>
          <w:tab w:val="num" w:pos="0"/>
        </w:tabs>
        <w:ind w:left="1197" w:hanging="1080"/>
      </w:pPr>
      <w:rPr/>
    </w:lvl>
    <w:lvl w:ilvl="4">
      <w:start w:val="1"/>
      <w:numFmt w:val="decimal"/>
      <w:lvlText w:val="%1.%2.%3.%4.%5."/>
      <w:lvlJc w:val="left"/>
      <w:pPr>
        <w:tabs>
          <w:tab w:val="num" w:pos="0"/>
        </w:tabs>
        <w:ind w:left="1236" w:hanging="1080"/>
      </w:pPr>
      <w:rPr/>
    </w:lvl>
    <w:lvl w:ilvl="5">
      <w:start w:val="1"/>
      <w:numFmt w:val="decimal"/>
      <w:lvlText w:val="%1.%2.%3.%4.%5.%6."/>
      <w:lvlJc w:val="left"/>
      <w:pPr>
        <w:tabs>
          <w:tab w:val="num" w:pos="0"/>
        </w:tabs>
        <w:ind w:left="1635" w:hanging="1440"/>
      </w:pPr>
      <w:rPr/>
    </w:lvl>
    <w:lvl w:ilvl="6">
      <w:start w:val="1"/>
      <w:numFmt w:val="decimal"/>
      <w:lvlText w:val="%1.%2.%3.%4.%5.%6.%7."/>
      <w:lvlJc w:val="left"/>
      <w:pPr>
        <w:tabs>
          <w:tab w:val="num" w:pos="0"/>
        </w:tabs>
        <w:ind w:left="1674" w:hanging="1440"/>
      </w:pPr>
      <w:rPr/>
    </w:lvl>
    <w:lvl w:ilvl="7">
      <w:start w:val="1"/>
      <w:numFmt w:val="decimal"/>
      <w:lvlText w:val="%1.%2.%3.%4.%5.%6.%7.%8."/>
      <w:lvlJc w:val="left"/>
      <w:pPr>
        <w:tabs>
          <w:tab w:val="num" w:pos="0"/>
        </w:tabs>
        <w:ind w:left="2073" w:hanging="1800"/>
      </w:pPr>
      <w:rPr/>
    </w:lvl>
    <w:lvl w:ilvl="8">
      <w:start w:val="1"/>
      <w:numFmt w:val="decimal"/>
      <w:lvlText w:val="%1.%2.%3.%4.%5.%6.%7.%8.%9."/>
      <w:lvlJc w:val="left"/>
      <w:pPr>
        <w:tabs>
          <w:tab w:val="num" w:pos="0"/>
        </w:tabs>
        <w:ind w:left="2112" w:hanging="1800"/>
      </w:pPr>
      <w:rPr/>
    </w:lvl>
  </w:abstractNum>
  <w:abstractNum w:abstractNumId="5">
    <w:lvl w:ilvl="0">
      <w:start w:val="6"/>
      <w:numFmt w:val="decimal"/>
      <w:lvlText w:val="%1."/>
      <w:lvlJc w:val="left"/>
      <w:pPr>
        <w:tabs>
          <w:tab w:val="num" w:pos="0"/>
        </w:tabs>
        <w:ind w:left="540" w:hanging="540"/>
      </w:pPr>
      <w:rPr>
        <w:b w:val="false"/>
      </w:rPr>
    </w:lvl>
    <w:lvl w:ilvl="1">
      <w:start w:val="1"/>
      <w:numFmt w:val="decimal"/>
      <w:lvlText w:val="%1.%2."/>
      <w:lvlJc w:val="left"/>
      <w:pPr>
        <w:tabs>
          <w:tab w:val="num" w:pos="0"/>
        </w:tabs>
        <w:ind w:left="1394" w:hanging="720"/>
      </w:pPr>
      <w:rPr>
        <w:b w:val="false"/>
      </w:rPr>
    </w:lvl>
    <w:lvl w:ilvl="2">
      <w:start w:val="2"/>
      <w:numFmt w:val="decimal"/>
      <w:lvlText w:val="%1.%2.%3."/>
      <w:lvlJc w:val="left"/>
      <w:pPr>
        <w:tabs>
          <w:tab w:val="num" w:pos="0"/>
        </w:tabs>
        <w:ind w:left="2068" w:hanging="720"/>
      </w:pPr>
      <w:rPr>
        <w:b w:val="false"/>
      </w:rPr>
    </w:lvl>
    <w:lvl w:ilvl="3">
      <w:start w:val="1"/>
      <w:numFmt w:val="decimal"/>
      <w:lvlText w:val="%1.%2.%3.%4."/>
      <w:lvlJc w:val="left"/>
      <w:pPr>
        <w:tabs>
          <w:tab w:val="num" w:pos="0"/>
        </w:tabs>
        <w:ind w:left="3102" w:hanging="1080"/>
      </w:pPr>
      <w:rPr>
        <w:b w:val="false"/>
      </w:rPr>
    </w:lvl>
    <w:lvl w:ilvl="4">
      <w:start w:val="1"/>
      <w:numFmt w:val="decimal"/>
      <w:lvlText w:val="%1.%2.%3.%4.%5."/>
      <w:lvlJc w:val="left"/>
      <w:pPr>
        <w:tabs>
          <w:tab w:val="num" w:pos="0"/>
        </w:tabs>
        <w:ind w:left="3776" w:hanging="1080"/>
      </w:pPr>
      <w:rPr>
        <w:b w:val="false"/>
      </w:rPr>
    </w:lvl>
    <w:lvl w:ilvl="5">
      <w:start w:val="1"/>
      <w:numFmt w:val="decimal"/>
      <w:lvlText w:val="%1.%2.%3.%4.%5.%6."/>
      <w:lvlJc w:val="left"/>
      <w:pPr>
        <w:tabs>
          <w:tab w:val="num" w:pos="0"/>
        </w:tabs>
        <w:ind w:left="4810" w:hanging="1440"/>
      </w:pPr>
      <w:rPr>
        <w:b w:val="false"/>
      </w:rPr>
    </w:lvl>
    <w:lvl w:ilvl="6">
      <w:start w:val="1"/>
      <w:numFmt w:val="decimal"/>
      <w:lvlText w:val="%1.%2.%3.%4.%5.%6.%7."/>
      <w:lvlJc w:val="left"/>
      <w:pPr>
        <w:tabs>
          <w:tab w:val="num" w:pos="0"/>
        </w:tabs>
        <w:ind w:left="5484" w:hanging="1440"/>
      </w:pPr>
      <w:rPr>
        <w:b w:val="false"/>
      </w:rPr>
    </w:lvl>
    <w:lvl w:ilvl="7">
      <w:start w:val="1"/>
      <w:numFmt w:val="decimal"/>
      <w:lvlText w:val="%1.%2.%3.%4.%5.%6.%7.%8."/>
      <w:lvlJc w:val="left"/>
      <w:pPr>
        <w:tabs>
          <w:tab w:val="num" w:pos="0"/>
        </w:tabs>
        <w:ind w:left="6518" w:hanging="1800"/>
      </w:pPr>
      <w:rPr>
        <w:b w:val="false"/>
      </w:rPr>
    </w:lvl>
    <w:lvl w:ilvl="8">
      <w:start w:val="1"/>
      <w:numFmt w:val="decimal"/>
      <w:lvlText w:val="%1.%2.%3.%4.%5.%6.%7.%8.%9."/>
      <w:lvlJc w:val="left"/>
      <w:pPr>
        <w:tabs>
          <w:tab w:val="num" w:pos="0"/>
        </w:tabs>
        <w:ind w:left="7192" w:hanging="1800"/>
      </w:pPr>
      <w:rPr>
        <w:b w:val="false"/>
      </w:rPr>
    </w:lvl>
  </w:abstractNum>
  <w:abstractNum w:abstractNumId="6">
    <w:lvl w:ilvl="0">
      <w:start w:val="7"/>
      <w:numFmt w:val="decimal"/>
      <w:lvlText w:val="%1."/>
      <w:lvlJc w:val="left"/>
      <w:pPr>
        <w:tabs>
          <w:tab w:val="num" w:pos="0"/>
        </w:tabs>
        <w:ind w:left="724" w:hanging="360"/>
      </w:pPr>
      <w:rPr/>
    </w:lvl>
    <w:lvl w:ilvl="1">
      <w:start w:val="1"/>
      <w:numFmt w:val="decimal"/>
      <w:lvlText w:val="%1.%2."/>
      <w:lvlJc w:val="left"/>
      <w:pPr>
        <w:tabs>
          <w:tab w:val="num" w:pos="0"/>
        </w:tabs>
        <w:ind w:left="1084" w:hanging="720"/>
      </w:pPr>
      <w:rPr/>
    </w:lvl>
    <w:lvl w:ilvl="2">
      <w:start w:val="1"/>
      <w:numFmt w:val="decimal"/>
      <w:lvlText w:val="%1.%2.%3."/>
      <w:lvlJc w:val="left"/>
      <w:pPr>
        <w:tabs>
          <w:tab w:val="num" w:pos="0"/>
        </w:tabs>
        <w:ind w:left="1084" w:hanging="720"/>
      </w:pPr>
      <w:rPr/>
    </w:lvl>
    <w:lvl w:ilvl="3">
      <w:start w:val="1"/>
      <w:numFmt w:val="decimal"/>
      <w:lvlText w:val="%1.%2.%3.%4."/>
      <w:lvlJc w:val="left"/>
      <w:pPr>
        <w:tabs>
          <w:tab w:val="num" w:pos="0"/>
        </w:tabs>
        <w:ind w:left="1444" w:hanging="1080"/>
      </w:pPr>
      <w:rPr/>
    </w:lvl>
    <w:lvl w:ilvl="4">
      <w:start w:val="1"/>
      <w:numFmt w:val="decimal"/>
      <w:lvlText w:val="%1.%2.%3.%4.%5."/>
      <w:lvlJc w:val="left"/>
      <w:pPr>
        <w:tabs>
          <w:tab w:val="num" w:pos="0"/>
        </w:tabs>
        <w:ind w:left="1444" w:hanging="1080"/>
      </w:pPr>
      <w:rPr/>
    </w:lvl>
    <w:lvl w:ilvl="5">
      <w:start w:val="1"/>
      <w:numFmt w:val="decimal"/>
      <w:lvlText w:val="%1.%2.%3.%4.%5.%6."/>
      <w:lvlJc w:val="left"/>
      <w:pPr>
        <w:tabs>
          <w:tab w:val="num" w:pos="0"/>
        </w:tabs>
        <w:ind w:left="1804" w:hanging="1440"/>
      </w:pPr>
      <w:rPr/>
    </w:lvl>
    <w:lvl w:ilvl="6">
      <w:start w:val="1"/>
      <w:numFmt w:val="decimal"/>
      <w:lvlText w:val="%1.%2.%3.%4.%5.%6.%7."/>
      <w:lvlJc w:val="left"/>
      <w:pPr>
        <w:tabs>
          <w:tab w:val="num" w:pos="0"/>
        </w:tabs>
        <w:ind w:left="1804" w:hanging="1440"/>
      </w:pPr>
      <w:rPr/>
    </w:lvl>
    <w:lvl w:ilvl="7">
      <w:start w:val="1"/>
      <w:numFmt w:val="decimal"/>
      <w:lvlText w:val="%1.%2.%3.%4.%5.%6.%7.%8."/>
      <w:lvlJc w:val="left"/>
      <w:pPr>
        <w:tabs>
          <w:tab w:val="num" w:pos="0"/>
        </w:tabs>
        <w:ind w:left="2164" w:hanging="1800"/>
      </w:pPr>
      <w:rPr/>
    </w:lvl>
    <w:lvl w:ilvl="8">
      <w:start w:val="1"/>
      <w:numFmt w:val="decimal"/>
      <w:lvlText w:val="%1.%2.%3.%4.%5.%6.%7.%8.%9."/>
      <w:lvlJc w:val="left"/>
      <w:pPr>
        <w:tabs>
          <w:tab w:val="num" w:pos="0"/>
        </w:tabs>
        <w:ind w:left="2164" w:hanging="1800"/>
      </w:pPr>
      <w:rPr/>
    </w:lvl>
  </w:abstractNum>
  <w:abstractNum w:abstractNumId="7">
    <w:lvl w:ilvl="0">
      <w:start w:val="8"/>
      <w:numFmt w:val="decimal"/>
      <w:lvlText w:val="%1."/>
      <w:lvlJc w:val="left"/>
      <w:pPr>
        <w:tabs>
          <w:tab w:val="num" w:pos="0"/>
        </w:tabs>
        <w:ind w:left="360" w:hanging="360"/>
      </w:pPr>
      <w:rPr/>
    </w:lvl>
    <w:lvl w:ilvl="1">
      <w:start w:val="3"/>
      <w:numFmt w:val="decimal"/>
      <w:lvlText w:val="%1.%2."/>
      <w:lvlJc w:val="left"/>
      <w:pPr>
        <w:tabs>
          <w:tab w:val="num" w:pos="0"/>
        </w:tabs>
        <w:ind w:left="720" w:hanging="72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1080" w:hanging="108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440" w:hanging="144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800" w:hanging="1800"/>
      </w:pPr>
      <w:rPr/>
    </w:lvl>
    <w:lvl w:ilvl="8">
      <w:start w:val="1"/>
      <w:numFmt w:val="decimal"/>
      <w:lvlText w:val="%1.%2.%3.%4.%5.%6.%7.%8.%9."/>
      <w:lvlJc w:val="left"/>
      <w:pPr>
        <w:tabs>
          <w:tab w:val="num" w:pos="0"/>
        </w:tabs>
        <w:ind w:left="1800" w:hanging="1800"/>
      </w:pPr>
      <w:rPr/>
    </w:lvl>
  </w:abstractNum>
  <w:abstractNum w:abstractNumId="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120"/>
  <w:defaultTabStop w:val="720"/>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left"/>
    </w:pPr>
    <w:rPr>
      <w:rFonts w:ascii="Arial" w:hAnsi="Arial" w:eastAsia="Arial" w:cs="Arial"/>
      <w:color w:val="auto"/>
      <w:kern w:val="0"/>
      <w:sz w:val="22"/>
      <w:szCs w:val="22"/>
      <w:lang w:val="lt-LT" w:eastAsia="en-US" w:bidi="ar-SA"/>
    </w:rPr>
  </w:style>
  <w:style w:type="paragraph" w:styleId="Heading1">
    <w:name w:val="heading 1"/>
    <w:basedOn w:val="Normal"/>
    <w:link w:val="Antrat1Diagrama"/>
    <w:uiPriority w:val="9"/>
    <w:qFormat/>
    <w:pPr>
      <w:spacing w:before="45" w:after="0"/>
      <w:ind w:hanging="246" w:left="364"/>
      <w:outlineLvl w:val="0"/>
    </w:pPr>
    <w:rPr>
      <w:b/>
      <w:bCs/>
    </w:rPr>
  </w:style>
  <w:style w:type="paragraph" w:styleId="Heading2">
    <w:name w:val="heading 2"/>
    <w:basedOn w:val="Normal"/>
    <w:uiPriority w:val="9"/>
    <w:unhideWhenUsed/>
    <w:qFormat/>
    <w:pPr>
      <w:ind w:hanging="794" w:left="547"/>
      <w:outlineLvl w:val="1"/>
    </w:pPr>
    <w:rPr>
      <w:b/>
      <w:bCs/>
    </w:rPr>
  </w:style>
  <w:style w:type="character" w:styleId="DefaultParagraphFont" w:default="1">
    <w:name w:val="Default Paragraph Font"/>
    <w:uiPriority w:val="1"/>
    <w:semiHidden/>
    <w:unhideWhenUsed/>
    <w:qFormat/>
    <w:rPr/>
  </w:style>
  <w:style w:type="character" w:styleId="normaltextrun" w:customStyle="1">
    <w:name w:val="normaltextrun"/>
    <w:basedOn w:val="DefaultParagraphFont"/>
    <w:qFormat/>
    <w:rsid w:val="0015282b"/>
    <w:rPr/>
  </w:style>
  <w:style w:type="character" w:styleId="eop" w:customStyle="1">
    <w:name w:val="eop"/>
    <w:basedOn w:val="DefaultParagraphFont"/>
    <w:qFormat/>
    <w:rsid w:val="0015282b"/>
    <w:rPr/>
  </w:style>
  <w:style w:type="character" w:styleId="InternetLink" w:customStyle="1">
    <w:name w:val="Internet Link"/>
    <w:basedOn w:val="DefaultParagraphFont"/>
    <w:uiPriority w:val="99"/>
    <w:unhideWhenUsed/>
    <w:qFormat/>
    <w:rsid w:val="008468e4"/>
    <w:rPr>
      <w:color w:themeColor="hyperlink" w:val="0000FF"/>
      <w:u w:val="single"/>
    </w:rPr>
  </w:style>
  <w:style w:type="character" w:styleId="UnresolvedMention">
    <w:name w:val="Unresolved Mention"/>
    <w:basedOn w:val="DefaultParagraphFont"/>
    <w:uiPriority w:val="99"/>
    <w:semiHidden/>
    <w:unhideWhenUsed/>
    <w:qFormat/>
    <w:rsid w:val="008468e4"/>
    <w:rPr>
      <w:color w:val="605E5C"/>
      <w:shd w:fill="E1DFDD" w:val="clear"/>
    </w:rPr>
  </w:style>
  <w:style w:type="character" w:styleId="Antrat1Diagrama" w:customStyle="1">
    <w:name w:val="Antraštė 1 Diagrama"/>
    <w:basedOn w:val="DefaultParagraphFont"/>
    <w:uiPriority w:val="9"/>
    <w:qFormat/>
    <w:rsid w:val="00fa0b6f"/>
    <w:rPr>
      <w:rFonts w:ascii="Arial" w:hAnsi="Arial" w:eastAsia="Arial" w:cs="Arial"/>
      <w:b/>
      <w:bCs/>
      <w:lang w:val="lt-LT"/>
    </w:rPr>
  </w:style>
  <w:style w:type="character" w:styleId="PagrindinistekstasDiagrama" w:customStyle="1">
    <w:name w:val="Pagrindinis tekstas Diagrama"/>
    <w:basedOn w:val="DefaultParagraphFont"/>
    <w:uiPriority w:val="1"/>
    <w:qFormat/>
    <w:rsid w:val="00fa0b6f"/>
    <w:rPr>
      <w:rFonts w:ascii="Arial" w:hAnsi="Arial" w:eastAsia="Arial" w:cs="Arial"/>
      <w:lang w:val="lt-LT"/>
    </w:rPr>
  </w:style>
  <w:style w:type="character" w:styleId="AntratsDiagrama" w:customStyle="1">
    <w:name w:val="Antraštės Diagrama"/>
    <w:basedOn w:val="DefaultParagraphFont"/>
    <w:uiPriority w:val="99"/>
    <w:qFormat/>
    <w:rsid w:val="00fa0b6f"/>
    <w:rPr>
      <w:rFonts w:ascii="Times New Roman" w:hAnsi="Times New Roman" w:eastAsia="Times New Roman" w:cs="Times New Roman"/>
      <w:lang w:val="lt-LT"/>
    </w:rPr>
  </w:style>
  <w:style w:type="character" w:styleId="PoratDiagrama" w:customStyle="1">
    <w:name w:val="Poraštė Diagrama"/>
    <w:basedOn w:val="DefaultParagraphFont"/>
    <w:uiPriority w:val="99"/>
    <w:qFormat/>
    <w:rsid w:val="00fa0b6f"/>
    <w:rPr>
      <w:rFonts w:ascii="Times New Roman" w:hAnsi="Times New Roman" w:eastAsia="Times New Roman" w:cs="Times New Roman"/>
      <w:lang w:val="lt-LT"/>
    </w:rPr>
  </w:style>
  <w:style w:type="character" w:styleId="DebesliotekstasDiagrama" w:customStyle="1">
    <w:name w:val="Debesėlio tekstas Diagrama"/>
    <w:basedOn w:val="DefaultParagraphFont"/>
    <w:link w:val="BalloonText"/>
    <w:uiPriority w:val="99"/>
    <w:semiHidden/>
    <w:qFormat/>
    <w:rsid w:val="00fa0b6f"/>
    <w:rPr>
      <w:rFonts w:ascii="Segoe UI" w:hAnsi="Segoe UI" w:eastAsia="Times New Roman" w:cs="Segoe UI"/>
      <w:sz w:val="18"/>
      <w:szCs w:val="18"/>
      <w:lang w:val="lt-LT"/>
    </w:rPr>
  </w:style>
  <w:style w:type="character" w:styleId="CommentReference">
    <w:name w:val="annotation reference"/>
    <w:basedOn w:val="DefaultParagraphFont"/>
    <w:uiPriority w:val="99"/>
    <w:semiHidden/>
    <w:unhideWhenUsed/>
    <w:qFormat/>
    <w:rsid w:val="00fa0b6f"/>
    <w:rPr>
      <w:sz w:val="16"/>
      <w:szCs w:val="16"/>
    </w:rPr>
  </w:style>
  <w:style w:type="character" w:styleId="KomentarotekstasDiagrama" w:customStyle="1">
    <w:name w:val="Komentaro tekstas Diagrama"/>
    <w:basedOn w:val="DefaultParagraphFont"/>
    <w:uiPriority w:val="99"/>
    <w:qFormat/>
    <w:rsid w:val="00fa0b6f"/>
    <w:rPr>
      <w:rFonts w:ascii="Times New Roman" w:hAnsi="Times New Roman" w:eastAsia="Times New Roman" w:cs="Times New Roman"/>
      <w:sz w:val="20"/>
      <w:szCs w:val="20"/>
      <w:lang w:val="lt-LT"/>
    </w:rPr>
  </w:style>
  <w:style w:type="character" w:styleId="KomentarotemaDiagrama" w:customStyle="1">
    <w:name w:val="Komentaro tema Diagrama"/>
    <w:basedOn w:val="KomentarotekstasDiagrama"/>
    <w:link w:val="annotationsubject"/>
    <w:uiPriority w:val="99"/>
    <w:semiHidden/>
    <w:qFormat/>
    <w:rsid w:val="00fa0b6f"/>
    <w:rPr>
      <w:rFonts w:ascii="Times New Roman" w:hAnsi="Times New Roman" w:eastAsia="Times New Roman" w:cs="Times New Roman"/>
      <w:b/>
      <w:bCs/>
      <w:sz w:val="20"/>
      <w:szCs w:val="20"/>
      <w:lang w:val="lt-LT"/>
    </w:rPr>
  </w:style>
  <w:style w:type="character" w:styleId="FontStyle55" w:customStyle="1">
    <w:name w:val="Font Style55"/>
    <w:uiPriority w:val="99"/>
    <w:qFormat/>
    <w:rsid w:val="00fa0b6f"/>
    <w:rPr>
      <w:rFonts w:ascii="Times New Roman" w:hAnsi="Times New Roman" w:cs="Times New Roman"/>
      <w:sz w:val="22"/>
      <w:szCs w:val="22"/>
    </w:rPr>
  </w:style>
  <w:style w:type="character" w:styleId="Antrat3Diagrama" w:customStyle="1">
    <w:name w:val="Antraštė 3 Diagrama"/>
    <w:basedOn w:val="DefaultParagraphFont"/>
    <w:qFormat/>
    <w:rsid w:val="00fa0b6f"/>
    <w:rPr>
      <w:rFonts w:ascii="Cambria" w:hAnsi="Cambria" w:eastAsia="" w:cs="" w:asciiTheme="majorHAnsi" w:cstheme="majorBidi" w:eastAsiaTheme="majorEastAsia" w:hAnsiTheme="majorHAnsi"/>
      <w:b/>
      <w:bCs/>
      <w:color w:themeColor="accent1" w:val="4F81BD"/>
    </w:rPr>
  </w:style>
  <w:style w:type="character" w:styleId="SraopastraipaDiagrama" w:customStyle="1">
    <w:name w:val="Sąrašo pastraipa Diagrama"/>
    <w:link w:val="ListParagraph"/>
    <w:uiPriority w:val="34"/>
    <w:qFormat/>
    <w:locked/>
    <w:rsid w:val="00a112c8"/>
    <w:rPr>
      <w:rFonts w:ascii="Arial" w:hAnsi="Arial" w:eastAsia="Arial" w:cs="Arial"/>
      <w:lang w:val="lt-LT"/>
    </w:rPr>
  </w:style>
  <w:style w:type="character" w:styleId="FollowedHyperlink">
    <w:name w:val="FollowedHyperlink"/>
    <w:basedOn w:val="DefaultParagraphFont"/>
    <w:uiPriority w:val="99"/>
    <w:semiHidden/>
    <w:unhideWhenUsed/>
    <w:rsid w:val="00a62a11"/>
    <w:rPr>
      <w:color w:themeColor="followedHyperlink" w:val="800080"/>
      <w:u w:val="single"/>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PagrindinistekstasDiagrama"/>
    <w:uiPriority w:val="1"/>
    <w:qFormat/>
    <w:pPr/>
    <w:rPr/>
  </w:style>
  <w:style w:type="paragraph" w:styleId="List">
    <w:name w:val="List"/>
    <w:basedOn w:val="BodyText"/>
    <w:pPr/>
    <w:rPr>
      <w:rFonts w:cs="Lucida Sans"/>
    </w:rPr>
  </w:style>
  <w:style w:type="paragraph" w:styleId="Caption">
    <w:name w:val="caption"/>
    <w:basedOn w:val="Normal"/>
    <w:next w:val="BodyText"/>
    <w:qFormat/>
    <w:pPr>
      <w:suppressLineNumbers/>
      <w:spacing w:before="120" w:after="120"/>
    </w:pPr>
    <w:rPr>
      <w:rFonts w:cs="Lucida Sans"/>
      <w:i/>
      <w:iCs/>
      <w:sz w:val="24"/>
      <w:szCs w:val="24"/>
    </w:rPr>
  </w:style>
  <w:style w:type="paragraph" w:styleId="Rodykl" w:customStyle="1">
    <w:name w:val="Rodyklė"/>
    <w:basedOn w:val="Normal"/>
    <w:qFormat/>
    <w:pPr>
      <w:suppressLineNumbers/>
    </w:pPr>
    <w:rPr>
      <w:rFonts w:cs="Lucida Sans"/>
    </w:rPr>
  </w:style>
  <w:style w:type="paragraph" w:styleId="ListParagraph">
    <w:name w:val="List Paragraph"/>
    <w:basedOn w:val="Normal"/>
    <w:link w:val="SraopastraipaDiagrama"/>
    <w:uiPriority w:val="34"/>
    <w:qFormat/>
    <w:pPr>
      <w:ind w:hanging="10" w:left="848"/>
    </w:pPr>
    <w:rPr/>
  </w:style>
  <w:style w:type="paragraph" w:styleId="TableParagraph" w:customStyle="1">
    <w:name w:val="Table Paragraph"/>
    <w:basedOn w:val="Normal"/>
    <w:uiPriority w:val="1"/>
    <w:qFormat/>
    <w:pPr/>
    <w:rPr/>
  </w:style>
  <w:style w:type="paragraph" w:styleId="paragraph" w:customStyle="1">
    <w:name w:val="paragraph"/>
    <w:basedOn w:val="Normal"/>
    <w:qFormat/>
    <w:rsid w:val="0015282b"/>
    <w:pPr>
      <w:widowControl/>
      <w:spacing w:beforeAutospacing="1" w:afterAutospacing="1"/>
    </w:pPr>
    <w:rPr>
      <w:rFonts w:ascii="Times New Roman" w:hAnsi="Times New Roman" w:eastAsia="Times New Roman" w:cs="Times New Roman"/>
      <w:sz w:val="24"/>
      <w:szCs w:val="24"/>
      <w:lang w:eastAsia="lt-LT"/>
    </w:rPr>
  </w:style>
  <w:style w:type="paragraph" w:styleId="HeaderandFooter" w:customStyle="1">
    <w:name w:val="Header and Footer"/>
    <w:basedOn w:val="Normal"/>
    <w:qFormat/>
    <w:pPr/>
    <w:rPr/>
  </w:style>
  <w:style w:type="paragraph" w:styleId="Header">
    <w:name w:val="header"/>
    <w:basedOn w:val="Normal"/>
    <w:link w:val="AntratsDiagrama"/>
    <w:uiPriority w:val="99"/>
    <w:unhideWhenUsed/>
    <w:rsid w:val="00fa0b6f"/>
    <w:pPr>
      <w:tabs>
        <w:tab w:val="clear" w:pos="720"/>
        <w:tab w:val="center" w:pos="4819" w:leader="none"/>
        <w:tab w:val="right" w:pos="9638" w:leader="none"/>
      </w:tabs>
    </w:pPr>
    <w:rPr>
      <w:rFonts w:ascii="Times New Roman" w:hAnsi="Times New Roman" w:eastAsia="Times New Roman" w:cs="Times New Roman"/>
    </w:rPr>
  </w:style>
  <w:style w:type="paragraph" w:styleId="Footer">
    <w:name w:val="footer"/>
    <w:basedOn w:val="Normal"/>
    <w:link w:val="PoratDiagrama"/>
    <w:uiPriority w:val="99"/>
    <w:unhideWhenUsed/>
    <w:rsid w:val="00fa0b6f"/>
    <w:pPr>
      <w:tabs>
        <w:tab w:val="clear" w:pos="720"/>
        <w:tab w:val="center" w:pos="4819" w:leader="none"/>
        <w:tab w:val="right" w:pos="9638" w:leader="none"/>
      </w:tabs>
    </w:pPr>
    <w:rPr>
      <w:rFonts w:ascii="Times New Roman" w:hAnsi="Times New Roman" w:eastAsia="Times New Roman" w:cs="Times New Roman"/>
    </w:rPr>
  </w:style>
  <w:style w:type="paragraph" w:styleId="BalloonText">
    <w:name w:val="Balloon Text"/>
    <w:basedOn w:val="Normal"/>
    <w:link w:val="DebesliotekstasDiagrama"/>
    <w:uiPriority w:val="99"/>
    <w:semiHidden/>
    <w:unhideWhenUsed/>
    <w:qFormat/>
    <w:rsid w:val="00fa0b6f"/>
    <w:pPr/>
    <w:rPr>
      <w:rFonts w:ascii="Segoe UI" w:hAnsi="Segoe UI" w:eastAsia="Times New Roman" w:cs="Segoe UI"/>
      <w:sz w:val="18"/>
      <w:szCs w:val="18"/>
    </w:rPr>
  </w:style>
  <w:style w:type="paragraph" w:styleId="CommentText">
    <w:name w:val="annotation text"/>
    <w:basedOn w:val="Normal"/>
    <w:link w:val="KomentarotekstasDiagrama"/>
    <w:uiPriority w:val="99"/>
    <w:unhideWhenUsed/>
    <w:rsid w:val="00fa0b6f"/>
    <w:pPr/>
    <w:rPr>
      <w:rFonts w:ascii="Times New Roman" w:hAnsi="Times New Roman" w:eastAsia="Times New Roman" w:cs="Times New Roman"/>
      <w:sz w:val="20"/>
      <w:szCs w:val="20"/>
    </w:rPr>
  </w:style>
  <w:style w:type="paragraph" w:styleId="annotationsubject">
    <w:name w:val="annotation subject"/>
    <w:basedOn w:val="CommentText"/>
    <w:next w:val="CommentText"/>
    <w:link w:val="KomentarotemaDiagrama"/>
    <w:uiPriority w:val="99"/>
    <w:semiHidden/>
    <w:unhideWhenUsed/>
    <w:qFormat/>
    <w:rsid w:val="00fa0b6f"/>
    <w:pPr/>
    <w:rPr>
      <w:b/>
      <w:bCs/>
    </w:rPr>
  </w:style>
  <w:style w:type="paragraph" w:styleId="Revision">
    <w:name w:val="Revision"/>
    <w:uiPriority w:val="99"/>
    <w:semiHidden/>
    <w:qFormat/>
    <w:rsid w:val="00fa0b6f"/>
    <w:pPr>
      <w:widowControl/>
      <w:suppressAutoHyphens w:val="true"/>
      <w:bidi w:val="0"/>
      <w:spacing w:before="0" w:after="0"/>
      <w:jc w:val="left"/>
    </w:pPr>
    <w:rPr>
      <w:rFonts w:ascii="Times New Roman" w:hAnsi="Times New Roman" w:eastAsia="Times New Roman" w:cs="Times New Roman"/>
      <w:color w:val="auto"/>
      <w:kern w:val="0"/>
      <w:sz w:val="22"/>
      <w:szCs w:val="22"/>
      <w:lang w:val="lt-LT" w:eastAsia="en-US" w:bidi="ar-SA"/>
    </w:rPr>
  </w:style>
  <w:style w:type="paragraph" w:styleId="TOC1">
    <w:name w:val="toc 1"/>
    <w:basedOn w:val="Normal"/>
    <w:next w:val="Normal"/>
    <w:autoRedefine/>
    <w:uiPriority w:val="39"/>
    <w:unhideWhenUsed/>
    <w:rsid w:val="00fa0b6f"/>
    <w:pPr>
      <w:spacing w:before="0" w:after="100"/>
    </w:pPr>
    <w:rPr>
      <w:rFonts w:ascii="Times New Roman" w:hAnsi="Times New Roman" w:eastAsia="Times New Roman" w:cs="Times New Roman"/>
    </w:rPr>
  </w:style>
  <w:style w:type="paragraph" w:styleId="FMAnormaltext" w:customStyle="1">
    <w:name w:val="FM A normal text"/>
    <w:basedOn w:val="Normal"/>
    <w:qFormat/>
    <w:rsid w:val="004b686a"/>
    <w:pPr>
      <w:widowControl/>
      <w:tabs>
        <w:tab w:val="clear" w:pos="720"/>
        <w:tab w:val="left" w:pos="1418" w:leader="none"/>
        <w:tab w:val="left" w:pos="2126" w:leader="none"/>
      </w:tabs>
      <w:overflowPunct w:val="true"/>
      <w:spacing w:before="0" w:after="120"/>
      <w:ind w:firstLine="720"/>
      <w:jc w:val="both"/>
      <w:textAlignment w:val="baseline"/>
    </w:pPr>
    <w:rPr>
      <w:rFonts w:ascii="Times New Roman" w:hAnsi="Times New Roman" w:eastAsia="Times New Roman" w:cs="Times New Roman"/>
      <w:szCs w:val="24"/>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customStyle="1" w:styleId="TableNormal1">
    <w:name w:val="Table Normal1"/>
    <w:uiPriority w:val="2"/>
    <w:semiHidden/>
    <w:unhideWhenUsed/>
    <w:qFormat/>
    <w:tblPr>
      <w:tblCellMar>
        <w:top w:w="0" w:type="dxa"/>
        <w:left w:w="0" w:type="dxa"/>
        <w:bottom w:w="0" w:type="dxa"/>
        <w:right w:w="0" w:type="dxa"/>
      </w:tblCellMar>
    </w:tblPr>
  </w:style>
  <w:style w:type="table" w:customStyle="1" w:styleId="TableGrid">
    <w:name w:val="TableGrid"/>
    <w:rsid w:val="00a112c8"/>
    <w:rPr>
      <w:rFonts w:eastAsiaTheme="minorEastAsia"/>
      <w:lang w:val="lt-LT" w:eastAsia="lt-LT"/>
      <w:sz w:val="24"/>
      <w:szCs w:val="24"/>
    </w:rPr>
    <w:tblPr>
      <w:tblCellMar>
        <w:top w:w="0" w:type="dxa"/>
        <w:left w:w="0" w:type="dxa"/>
        <w:bottom w:w="0" w:type="dxa"/>
        <w:right w:w="0" w:type="dxa"/>
      </w:tblCellMar>
    </w:tblPr>
  </w:style>
  <w:style w:type="table" w:styleId="Lentelstinklelis">
    <w:name w:val="Table Grid"/>
    <w:basedOn w:val="prastojilentel"/>
    <w:uiPriority w:val="39"/>
    <w:rsid w:val="00a610bc"/>
    <w:rPr>
      <w:lang w:val="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D4E2D-F2CB-40A2-BD23-8B9CEBD62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Application>LibreOffice/24.8.0.3$Windows_X86_64 LibreOffice_project/0bdf1299c94fe897b119f97f3c613e9dca6be583</Application>
  <AppVersion>15.0000</AppVersion>
  <Pages>7</Pages>
  <Words>2653</Words>
  <Characters>19085</Characters>
  <CharactersWithSpaces>21532</CharactersWithSpaces>
  <Paragraphs>152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2025-12-18T21:34:00Z</dcterms:created>
  <dc:creator>Gintaras.Marcinkevicius@vmu.lt</dc:creator>
  <dc:description/>
  <dc:language>lt-LT</dc:language>
  <cp:lastModifiedBy/>
  <cp:lastPrinted>2025-05-12T12:16:00Z</cp:lastPrinted>
  <dcterms:modified xsi:type="dcterms:W3CDTF">2026-02-06T09:02:39Z</dcterms:modified>
  <cp:revision>27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2022-07-01T00:00:00Z</vt:filetime>
  </property>
  <property fmtid="{D5CDD505-2E9C-101B-9397-08002B2CF9AE}" pid="3" name="Creator">
    <vt:lpwstr>Microsoft® Word skirta „Microsoft 365“</vt:lpwstr>
  </property>
  <property fmtid="{D5CDD505-2E9C-101B-9397-08002B2CF9AE}" pid="4" name="LastSaved">
    <vt:filetime>2024-02-06T00:00:00Z</vt:filetime>
  </property>
  <property fmtid="{D5CDD505-2E9C-101B-9397-08002B2CF9AE}" pid="5" name="Producer">
    <vt:lpwstr>3-Heights(TM) PDF Security Shell 4.8.25.2 (http://www.pdf-tools.com)</vt:lpwstr>
  </property>
</Properties>
</file>